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87" w:rsidRPr="005C1D16" w:rsidRDefault="00107B6E" w:rsidP="005C1D16">
      <w:pPr>
        <w:pStyle w:val="Nadpis1"/>
        <w:numPr>
          <w:ilvl w:val="0"/>
          <w:numId w:val="0"/>
        </w:numPr>
        <w:spacing w:after="120"/>
        <w:rPr>
          <w:rFonts w:ascii="Palatino Linotype" w:hAnsi="Palatino Linotype"/>
          <w:u w:val="single"/>
        </w:rPr>
      </w:pPr>
      <w:r w:rsidRPr="005C1D16">
        <w:rPr>
          <w:rFonts w:ascii="Palatino Linotype" w:hAnsi="Palatino Linotype"/>
          <w:u w:val="single"/>
        </w:rPr>
        <w:t>M</w:t>
      </w:r>
      <w:r w:rsidR="00441CD9" w:rsidRPr="005C1D16">
        <w:rPr>
          <w:rFonts w:ascii="Palatino Linotype" w:hAnsi="Palatino Linotype"/>
          <w:u w:val="single"/>
        </w:rPr>
        <w:t xml:space="preserve">inimální technické požadavky na </w:t>
      </w:r>
      <w:r w:rsidR="004A1CFE" w:rsidRPr="005C1D16">
        <w:rPr>
          <w:rFonts w:ascii="Palatino Linotype" w:hAnsi="Palatino Linotype"/>
          <w:u w:val="single"/>
        </w:rPr>
        <w:t xml:space="preserve">komponenty a materiál </w:t>
      </w:r>
      <w:r w:rsidR="00441CD9" w:rsidRPr="005C1D16">
        <w:rPr>
          <w:rFonts w:ascii="Palatino Linotype" w:hAnsi="Palatino Linotype"/>
          <w:u w:val="single"/>
        </w:rPr>
        <w:t xml:space="preserve">pro obnovu </w:t>
      </w:r>
      <w:r w:rsidR="00CC5E37" w:rsidRPr="005C1D16">
        <w:rPr>
          <w:rFonts w:ascii="Palatino Linotype" w:hAnsi="Palatino Linotype"/>
          <w:u w:val="single"/>
        </w:rPr>
        <w:t xml:space="preserve">a servis </w:t>
      </w:r>
      <w:r w:rsidR="006B61EB" w:rsidRPr="005C1D16">
        <w:rPr>
          <w:rFonts w:ascii="Palatino Linotype" w:hAnsi="Palatino Linotype"/>
          <w:u w:val="single"/>
        </w:rPr>
        <w:t>z</w:t>
      </w:r>
      <w:r w:rsidR="004A1CFE" w:rsidRPr="005C1D16">
        <w:rPr>
          <w:rFonts w:ascii="Palatino Linotype" w:hAnsi="Palatino Linotype"/>
          <w:u w:val="single"/>
        </w:rPr>
        <w:t>ařízení</w:t>
      </w:r>
    </w:p>
    <w:p w:rsidR="007027B4" w:rsidRPr="005C1D16" w:rsidRDefault="007027B4" w:rsidP="005C1D16">
      <w:pPr>
        <w:spacing w:after="120"/>
        <w:jc w:val="both"/>
        <w:rPr>
          <w:rFonts w:ascii="Palatino Linotype" w:hAnsi="Palatino Linotype"/>
        </w:rPr>
      </w:pPr>
      <w:bookmarkStart w:id="0" w:name="_Toc182120694"/>
      <w:r w:rsidRPr="005C1D16">
        <w:rPr>
          <w:rFonts w:ascii="Palatino Linotype" w:hAnsi="Palatino Linotype"/>
        </w:rPr>
        <w:t xml:space="preserve">Při obnově </w:t>
      </w:r>
      <w:r w:rsidR="005C736C" w:rsidRPr="005C1D16">
        <w:rPr>
          <w:rFonts w:ascii="Palatino Linotype" w:hAnsi="Palatino Linotype"/>
        </w:rPr>
        <w:t xml:space="preserve">a servisu </w:t>
      </w:r>
      <w:r w:rsidRPr="005C1D16">
        <w:rPr>
          <w:rFonts w:ascii="Palatino Linotype" w:hAnsi="Palatino Linotype"/>
        </w:rPr>
        <w:t>zařízení musí být použity takové materiály a konstrukční prvky, které zachovají minimálně stejné technické, provozní, ekonomické a bezpečnostní parametry, jako má obnovované zařízení.</w:t>
      </w:r>
    </w:p>
    <w:p w:rsidR="007027B4" w:rsidRPr="005C1D16" w:rsidRDefault="007027B4" w:rsidP="005C1D16">
      <w:pPr>
        <w:spacing w:after="120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Obecně platí, že nevyhovuje-li některé obnovované zařízení aktuálně platným ČSN, musí zařízení po obnově tyto platné ČSN splňovat. </w:t>
      </w:r>
    </w:p>
    <w:p w:rsidR="00AF1DEE" w:rsidRPr="005C1D16" w:rsidRDefault="007027B4" w:rsidP="005C1D16">
      <w:pPr>
        <w:spacing w:after="120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Níže uvedené technické parametry musí být při obnově jakéhokoliv zařízení vždy dodrženy.</w:t>
      </w:r>
    </w:p>
    <w:p w:rsidR="007027B4" w:rsidRPr="00D32D51" w:rsidRDefault="007027B4" w:rsidP="00D32D51">
      <w:pPr>
        <w:rPr>
          <w:rFonts w:asciiTheme="minorHAnsi" w:hAnsiTheme="minorHAnsi"/>
        </w:rPr>
      </w:pPr>
    </w:p>
    <w:p w:rsidR="00AF1DEE" w:rsidRPr="005C1D16" w:rsidRDefault="00AF1DEE" w:rsidP="00B573C5">
      <w:pPr>
        <w:pStyle w:val="Nadpis1"/>
        <w:numPr>
          <w:ilvl w:val="0"/>
          <w:numId w:val="0"/>
        </w:numPr>
        <w:rPr>
          <w:rFonts w:ascii="Palatino Linotype" w:hAnsi="Palatino Linotype"/>
          <w:u w:val="single"/>
        </w:rPr>
      </w:pPr>
      <w:r w:rsidRPr="005C1D16">
        <w:rPr>
          <w:rFonts w:ascii="Palatino Linotype" w:hAnsi="Palatino Linotype"/>
          <w:u w:val="single"/>
        </w:rPr>
        <w:t xml:space="preserve">Požadavky na vybrané konstrukční prvky </w:t>
      </w:r>
      <w:r w:rsidR="004A1CFE" w:rsidRPr="005C1D16">
        <w:rPr>
          <w:rFonts w:ascii="Palatino Linotype" w:hAnsi="Palatino Linotype"/>
          <w:u w:val="single"/>
        </w:rPr>
        <w:t>systémů</w:t>
      </w:r>
      <w:r w:rsidRPr="005C1D16">
        <w:rPr>
          <w:rFonts w:ascii="Palatino Linotype" w:hAnsi="Palatino Linotype"/>
          <w:u w:val="single"/>
        </w:rPr>
        <w:t xml:space="preserve"> VO</w:t>
      </w:r>
      <w:bookmarkEnd w:id="0"/>
      <w:r w:rsidR="004A1CFE" w:rsidRPr="005C1D16">
        <w:rPr>
          <w:rFonts w:ascii="Palatino Linotype" w:hAnsi="Palatino Linotype"/>
          <w:u w:val="single"/>
        </w:rPr>
        <w:t xml:space="preserve"> a SO</w:t>
      </w:r>
    </w:p>
    <w:p w:rsidR="00441CD9" w:rsidRPr="005C1D16" w:rsidRDefault="00441CD9" w:rsidP="005C1D16">
      <w:pPr>
        <w:jc w:val="both"/>
        <w:rPr>
          <w:rFonts w:ascii="Palatino Linotype" w:hAnsi="Palatino Linotype"/>
          <w:sz w:val="28"/>
          <w:szCs w:val="28"/>
        </w:rPr>
      </w:pPr>
    </w:p>
    <w:p w:rsidR="00441CD9" w:rsidRPr="005C1D16" w:rsidRDefault="00441CD9" w:rsidP="005C1D16">
      <w:pPr>
        <w:numPr>
          <w:ilvl w:val="0"/>
          <w:numId w:val="1"/>
        </w:numPr>
        <w:jc w:val="both"/>
        <w:rPr>
          <w:rFonts w:ascii="Palatino Linotype" w:hAnsi="Palatino Linotype"/>
          <w:b/>
          <w:caps/>
        </w:rPr>
      </w:pPr>
      <w:r w:rsidRPr="005C1D16">
        <w:rPr>
          <w:rFonts w:ascii="Palatino Linotype" w:hAnsi="Palatino Linotype"/>
          <w:b/>
          <w:caps/>
        </w:rPr>
        <w:t>Osvětlovací tělesa</w:t>
      </w:r>
      <w:r w:rsidR="00D40E35" w:rsidRPr="005C1D16">
        <w:rPr>
          <w:rFonts w:ascii="Palatino Linotype" w:hAnsi="Palatino Linotype"/>
          <w:b/>
          <w:caps/>
        </w:rPr>
        <w:t xml:space="preserve"> Sodík</w:t>
      </w:r>
      <w:r w:rsidRPr="005C1D16">
        <w:rPr>
          <w:rFonts w:ascii="Palatino Linotype" w:hAnsi="Palatino Linotype"/>
          <w:b/>
          <w:caps/>
        </w:rPr>
        <w:t>:</w:t>
      </w:r>
    </w:p>
    <w:p w:rsidR="00441CD9" w:rsidRPr="005C1D16" w:rsidRDefault="00441CD9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Krytí optické části svítidel minimálně IP 65</w:t>
      </w:r>
      <w:r w:rsidR="00396C36" w:rsidRPr="005C1D16">
        <w:rPr>
          <w:rFonts w:ascii="Palatino Linotype" w:hAnsi="Palatino Linotype"/>
        </w:rPr>
        <w:t xml:space="preserve"> (*)</w:t>
      </w:r>
    </w:p>
    <w:p w:rsidR="00441CD9" w:rsidRPr="005C1D16" w:rsidRDefault="00441CD9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Optická část svítidel instalovaných do 6m výšky </w:t>
      </w:r>
      <w:r w:rsidR="007027B4" w:rsidRPr="005C1D16">
        <w:rPr>
          <w:rFonts w:ascii="Palatino Linotype" w:hAnsi="Palatino Linotype"/>
        </w:rPr>
        <w:t>s </w:t>
      </w:r>
      <w:r w:rsidR="00AF1DEE" w:rsidRPr="005C1D16">
        <w:rPr>
          <w:rFonts w:ascii="Palatino Linotype" w:hAnsi="Palatino Linotype"/>
        </w:rPr>
        <w:t>odoln</w:t>
      </w:r>
      <w:r w:rsidR="007027B4" w:rsidRPr="005C1D16">
        <w:rPr>
          <w:rFonts w:ascii="Palatino Linotype" w:hAnsi="Palatino Linotype"/>
        </w:rPr>
        <w:t xml:space="preserve">ostí </w:t>
      </w:r>
      <w:r w:rsidR="00AF1DEE" w:rsidRPr="005C1D16">
        <w:rPr>
          <w:rFonts w:ascii="Palatino Linotype" w:hAnsi="Palatino Linotype"/>
        </w:rPr>
        <w:t>proti vandalům</w:t>
      </w:r>
      <w:r w:rsidR="00BC51D3" w:rsidRPr="005C1D16">
        <w:rPr>
          <w:rFonts w:ascii="Palatino Linotype" w:hAnsi="Palatino Linotype"/>
        </w:rPr>
        <w:t xml:space="preserve"> </w:t>
      </w:r>
      <w:r w:rsidR="007027B4" w:rsidRPr="005C1D16">
        <w:rPr>
          <w:rFonts w:ascii="Palatino Linotype" w:hAnsi="Palatino Linotype"/>
        </w:rPr>
        <w:t>min. IK08.</w:t>
      </w:r>
      <w:r w:rsidR="00396C36" w:rsidRPr="005C1D16">
        <w:rPr>
          <w:rFonts w:ascii="Palatino Linotype" w:hAnsi="Palatino Linotype"/>
        </w:rPr>
        <w:t>(**)</w:t>
      </w:r>
    </w:p>
    <w:p w:rsidR="00441CD9" w:rsidRPr="005C1D16" w:rsidRDefault="00441CD9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Výměna zdrojů bez použití nástrojů</w:t>
      </w:r>
    </w:p>
    <w:p w:rsidR="00006EF2" w:rsidRPr="005C1D16" w:rsidRDefault="00006EF2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Minimální účinnost světelných zdrojů</w:t>
      </w:r>
    </w:p>
    <w:tbl>
      <w:tblPr>
        <w:tblW w:w="5180" w:type="dxa"/>
        <w:tblInd w:w="1913" w:type="dxa"/>
        <w:tblCellMar>
          <w:left w:w="70" w:type="dxa"/>
          <w:right w:w="70" w:type="dxa"/>
        </w:tblCellMar>
        <w:tblLook w:val="04A0"/>
      </w:tblPr>
      <w:tblGrid>
        <w:gridCol w:w="2960"/>
        <w:gridCol w:w="2220"/>
      </w:tblGrid>
      <w:tr w:rsidR="00006EF2" w:rsidRPr="009E37E1" w:rsidTr="00D40E35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/>
                <w:color w:val="000000"/>
                <w:sz w:val="22"/>
                <w:szCs w:val="22"/>
              </w:rPr>
              <w:t>Nominální výkon zdroje (W)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/>
                <w:color w:val="000000"/>
                <w:sz w:val="22"/>
                <w:szCs w:val="22"/>
              </w:rPr>
              <w:t>Jmenovitá účinnost zdroje (</w:t>
            </w:r>
            <w:proofErr w:type="spellStart"/>
            <w:r w:rsidRPr="005C1D16">
              <w:rPr>
                <w:rFonts w:ascii="Palatino Linotype" w:hAnsi="Palatino Linotype"/>
                <w:color w:val="000000"/>
                <w:sz w:val="22"/>
                <w:szCs w:val="22"/>
              </w:rPr>
              <w:t>lm</w:t>
            </w:r>
            <w:proofErr w:type="spellEnd"/>
            <w:r w:rsidRPr="005C1D16">
              <w:rPr>
                <w:rFonts w:ascii="Palatino Linotype" w:hAnsi="Palatino Linotype"/>
                <w:color w:val="000000"/>
                <w:sz w:val="22"/>
                <w:szCs w:val="22"/>
              </w:rPr>
              <w:t>/W)</w:t>
            </w:r>
          </w:p>
        </w:tc>
      </w:tr>
      <w:tr w:rsidR="00006EF2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≤ 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70</w:t>
            </w:r>
          </w:p>
        </w:tc>
      </w:tr>
      <w:tr w:rsidR="00006EF2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50, ≥ 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80</w:t>
            </w:r>
          </w:p>
        </w:tc>
      </w:tr>
      <w:tr w:rsidR="00006EF2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75, ≥ 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85</w:t>
            </w:r>
          </w:p>
        </w:tc>
      </w:tr>
      <w:tr w:rsidR="00006EF2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105, ≥ 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85</w:t>
            </w:r>
          </w:p>
        </w:tc>
      </w:tr>
      <w:tr w:rsidR="00006EF2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155, ≥ 255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85</w:t>
            </w:r>
          </w:p>
        </w:tc>
      </w:tr>
      <w:tr w:rsidR="00006EF2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255, ≥ 605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2" w:rsidRPr="005C1D16" w:rsidRDefault="00006EF2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90</w:t>
            </w:r>
          </w:p>
        </w:tc>
      </w:tr>
    </w:tbl>
    <w:p w:rsidR="00AF1DEE" w:rsidRPr="005C1D16" w:rsidRDefault="00AF1DEE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Možnost směrování světelného paprsku</w:t>
      </w:r>
    </w:p>
    <w:p w:rsidR="00AF1DEE" w:rsidRPr="005C1D16" w:rsidRDefault="00AF1DEE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Instalace na vrchol stožáru i na výložník</w:t>
      </w:r>
    </w:p>
    <w:p w:rsidR="00E674E5" w:rsidRPr="005C1D16" w:rsidRDefault="00E674E5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Certifikáty ENEC, CE, </w:t>
      </w:r>
    </w:p>
    <w:p w:rsidR="00D40E35" w:rsidRPr="00CC5E37" w:rsidRDefault="00D40E35" w:rsidP="005C1D16">
      <w:pPr>
        <w:jc w:val="both"/>
        <w:rPr>
          <w:rFonts w:asciiTheme="minorHAnsi" w:hAnsiTheme="minorHAnsi"/>
        </w:rPr>
      </w:pPr>
    </w:p>
    <w:p w:rsidR="004A1CFE" w:rsidRPr="005C1D16" w:rsidRDefault="00D40E35" w:rsidP="005C1D16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caps/>
        </w:rPr>
      </w:pPr>
      <w:r w:rsidRPr="005C1D16">
        <w:rPr>
          <w:rFonts w:ascii="Palatino Linotype" w:hAnsi="Palatino Linotype"/>
          <w:b/>
          <w:caps/>
        </w:rPr>
        <w:t>Osvětlovací tělesa LED</w:t>
      </w:r>
      <w:r w:rsidR="00396C36" w:rsidRPr="005C1D16">
        <w:rPr>
          <w:rFonts w:ascii="Palatino Linotype" w:hAnsi="Palatino Linotype"/>
          <w:b/>
          <w:caps/>
        </w:rPr>
        <w:t>:</w:t>
      </w:r>
    </w:p>
    <w:p w:rsidR="00CC5E37" w:rsidRPr="005C1D16" w:rsidRDefault="00CC5E37" w:rsidP="005C1D16">
      <w:pPr>
        <w:ind w:left="360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Moderní svítidla se světelnými zdroji z LED diod </w:t>
      </w:r>
      <w:r w:rsidRPr="005C1D16">
        <w:rPr>
          <w:rFonts w:ascii="Palatino Linotype" w:hAnsi="Palatino Linotype"/>
          <w:b/>
        </w:rPr>
        <w:t>musí umožňovat automatickou regulaci světelného výkonu v závislosti na čase</w:t>
      </w:r>
      <w:r w:rsidRPr="005C1D16">
        <w:rPr>
          <w:rFonts w:ascii="Palatino Linotype" w:hAnsi="Palatino Linotype"/>
        </w:rPr>
        <w:t>. Po sepnutí světelné soustavy budou svítidla svítit až do 22:00 na 100% světelného výkonu. Mezi 22:00 až 23:00 poklesne výkon svítidla na 75%. V době mezi 23:00 a 4</w:t>
      </w:r>
      <w:r w:rsidR="00D26DF2" w:rsidRPr="005C1D16">
        <w:rPr>
          <w:rFonts w:ascii="Palatino Linotype" w:hAnsi="Palatino Linotype"/>
        </w:rPr>
        <w:t xml:space="preserve">:00 </w:t>
      </w:r>
      <w:r w:rsidR="00AB787B" w:rsidRPr="005C1D16">
        <w:rPr>
          <w:rFonts w:ascii="Palatino Linotype" w:hAnsi="Palatino Linotype"/>
        </w:rPr>
        <w:t xml:space="preserve">bude </w:t>
      </w:r>
      <w:r w:rsidR="00D26DF2" w:rsidRPr="005C1D16">
        <w:rPr>
          <w:rFonts w:ascii="Palatino Linotype" w:hAnsi="Palatino Linotype"/>
        </w:rPr>
        <w:t xml:space="preserve">svítidlo nastaveno na </w:t>
      </w:r>
      <w:r w:rsidRPr="005C1D16">
        <w:rPr>
          <w:rFonts w:ascii="Palatino Linotype" w:hAnsi="Palatino Linotype"/>
        </w:rPr>
        <w:t xml:space="preserve">50% světelného výkonu.  V době od 4:00 do 5:00 vzroste výkon svítidla na 75% a po 5:00 </w:t>
      </w:r>
      <w:r w:rsidR="00AB787B" w:rsidRPr="005C1D16">
        <w:rPr>
          <w:rFonts w:ascii="Palatino Linotype" w:hAnsi="Palatino Linotype"/>
        </w:rPr>
        <w:t xml:space="preserve">bude </w:t>
      </w:r>
      <w:proofErr w:type="gramStart"/>
      <w:r w:rsidR="00AB787B" w:rsidRPr="005C1D16">
        <w:rPr>
          <w:rFonts w:ascii="Palatino Linotype" w:hAnsi="Palatino Linotype"/>
        </w:rPr>
        <w:t xml:space="preserve">nastaveno </w:t>
      </w:r>
      <w:r w:rsidRPr="005C1D16">
        <w:rPr>
          <w:rFonts w:ascii="Palatino Linotype" w:hAnsi="Palatino Linotype"/>
        </w:rPr>
        <w:t xml:space="preserve"> na</w:t>
      </w:r>
      <w:proofErr w:type="gramEnd"/>
      <w:r w:rsidRPr="005C1D16">
        <w:rPr>
          <w:rFonts w:ascii="Palatino Linotype" w:hAnsi="Palatino Linotype"/>
        </w:rPr>
        <w:t xml:space="preserve"> 100%, až do doby, kdy dojde k vypnutí světelné soustavy. </w:t>
      </w:r>
    </w:p>
    <w:p w:rsidR="00CC5E37" w:rsidRDefault="00CC5E37" w:rsidP="005C1D16">
      <w:pPr>
        <w:ind w:left="360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Pro realizaci je požadován jeden typ svítidla LED s možností volby výkonových řad změnou počtu LED zdrojů. </w:t>
      </w:r>
    </w:p>
    <w:p w:rsidR="0059083E" w:rsidRPr="005C1D16" w:rsidRDefault="0059083E" w:rsidP="005C1D16">
      <w:pPr>
        <w:ind w:left="360"/>
        <w:jc w:val="both"/>
        <w:rPr>
          <w:rFonts w:ascii="Palatino Linotype" w:hAnsi="Palatino Linotype"/>
        </w:rPr>
      </w:pPr>
    </w:p>
    <w:p w:rsidR="00CC5E37" w:rsidRPr="005C1D16" w:rsidRDefault="00CC5E37" w:rsidP="005C1D16">
      <w:pPr>
        <w:pStyle w:val="Odstavecseseznamem"/>
        <w:numPr>
          <w:ilvl w:val="0"/>
          <w:numId w:val="23"/>
        </w:numPr>
        <w:jc w:val="both"/>
        <w:rPr>
          <w:rFonts w:ascii="Palatino Linotype" w:hAnsi="Palatino Linotype"/>
          <w:b/>
        </w:rPr>
      </w:pPr>
      <w:r w:rsidRPr="005C1D16">
        <w:rPr>
          <w:rFonts w:ascii="Palatino Linotype" w:hAnsi="Palatino Linotype"/>
          <w:b/>
        </w:rPr>
        <w:lastRenderedPageBreak/>
        <w:t xml:space="preserve">Požadavky na svítidla: 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Měrný výkon LED čipů musí být minimálně 148  </w:t>
      </w:r>
      <w:proofErr w:type="spellStart"/>
      <w:r w:rsidRPr="005C1D16">
        <w:rPr>
          <w:rFonts w:ascii="Palatino Linotype" w:hAnsi="Palatino Linotype"/>
        </w:rPr>
        <w:t>lm</w:t>
      </w:r>
      <w:proofErr w:type="spellEnd"/>
      <w:r w:rsidRPr="005C1D16">
        <w:rPr>
          <w:rFonts w:ascii="Palatino Linotype" w:hAnsi="Palatino Linotype"/>
        </w:rPr>
        <w:t xml:space="preserve">/W při odběru 350 </w:t>
      </w:r>
      <w:proofErr w:type="spellStart"/>
      <w:r w:rsidRPr="005C1D16">
        <w:rPr>
          <w:rFonts w:ascii="Palatino Linotype" w:hAnsi="Palatino Linotype"/>
        </w:rPr>
        <w:t>mA</w:t>
      </w:r>
      <w:proofErr w:type="spellEnd"/>
      <w:r w:rsidRPr="005C1D16">
        <w:rPr>
          <w:rFonts w:ascii="Palatino Linotype" w:hAnsi="Palatino Linotype"/>
        </w:rPr>
        <w:t xml:space="preserve">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Pokles světelného toku LED čipu po 100 000 hodinách max. 10%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Napájecí proud navržených svítidel maximálně 350 </w:t>
      </w:r>
      <w:proofErr w:type="spellStart"/>
      <w:r w:rsidRPr="005C1D16">
        <w:rPr>
          <w:rFonts w:ascii="Palatino Linotype" w:hAnsi="Palatino Linotype"/>
        </w:rPr>
        <w:t>mA</w:t>
      </w:r>
      <w:proofErr w:type="spellEnd"/>
      <w:r w:rsidRPr="005C1D16">
        <w:rPr>
          <w:rFonts w:ascii="Palatino Linotype" w:hAnsi="Palatino Linotype"/>
        </w:rPr>
        <w:t xml:space="preserve"> 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Náhradní teplota chromatičnosti teplá bílá: 2900 až 3100 K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Těleso svítidla vyrobené z vysokotlaké slitiny hliníku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Kryt optické části - rovné sklo pro omezení vyzařování do horního poloprostoru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Odolnost optické části proti nárazu minimálně IK08** (sklo)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Stupeň krytí minimálně IP66* (optická i elektronická část)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Optická a předřadná část svítidla musí být mechanicky oddělena i při otevření svítidla z důvodu zamezení znečištění optické části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Optická a předřadná část svítidla musí být mechanicky oddělena z důvodu zamezení vzájemného teplotního ovlivňování a tím snižování výkonu svítidla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Chladící žebra </w:t>
      </w:r>
      <w:r w:rsidR="009D2AA2" w:rsidRPr="005C1D16">
        <w:rPr>
          <w:rFonts w:ascii="Palatino Linotype" w:hAnsi="Palatino Linotype"/>
        </w:rPr>
        <w:t>nesmí být na horní části svítidla z důvodu možného znečištění</w:t>
      </w:r>
      <w:r w:rsidRPr="005C1D16">
        <w:rPr>
          <w:rFonts w:ascii="Palatino Linotype" w:hAnsi="Palatino Linotype"/>
        </w:rPr>
        <w:t xml:space="preserve">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Každá LED je vybavena </w:t>
      </w:r>
      <w:r w:rsidR="009D2AA2" w:rsidRPr="005C1D16">
        <w:rPr>
          <w:rFonts w:ascii="Palatino Linotype" w:hAnsi="Palatino Linotype"/>
        </w:rPr>
        <w:t xml:space="preserve">samostatnou </w:t>
      </w:r>
      <w:r w:rsidRPr="005C1D16">
        <w:rPr>
          <w:rFonts w:ascii="Palatino Linotype" w:hAnsi="Palatino Linotype"/>
        </w:rPr>
        <w:t xml:space="preserve">čočkou 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Svítidlo lze osadit minimálně 10 druhy různých optik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Optická část svítidla musí být snadno demontovatelná a v budoucnu snadno nahraditelná, možnost výměny LED </w:t>
      </w:r>
      <w:r w:rsidR="00D26DF2" w:rsidRPr="005C1D16">
        <w:rPr>
          <w:rFonts w:ascii="Palatino Linotype" w:hAnsi="Palatino Linotype"/>
        </w:rPr>
        <w:t xml:space="preserve">světelných </w:t>
      </w:r>
      <w:r w:rsidRPr="005C1D16">
        <w:rPr>
          <w:rFonts w:ascii="Palatino Linotype" w:hAnsi="Palatino Linotype"/>
        </w:rPr>
        <w:t>zdrojů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Svítidla musí být vybavena přepěťovou ochranou min. 4 </w:t>
      </w:r>
      <w:proofErr w:type="spellStart"/>
      <w:r w:rsidRPr="005C1D16">
        <w:rPr>
          <w:rFonts w:ascii="Palatino Linotype" w:hAnsi="Palatino Linotype"/>
        </w:rPr>
        <w:t>kV</w:t>
      </w:r>
      <w:proofErr w:type="spellEnd"/>
      <w:r w:rsidRPr="005C1D16">
        <w:rPr>
          <w:rFonts w:ascii="Palatino Linotype" w:hAnsi="Palatino Linotype"/>
        </w:rPr>
        <w:t xml:space="preserve"> 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  <w:vertAlign w:val="superscript"/>
        </w:rPr>
      </w:pPr>
      <w:r w:rsidRPr="005C1D16">
        <w:rPr>
          <w:rFonts w:ascii="Palatino Linotype" w:hAnsi="Palatino Linotype"/>
        </w:rPr>
        <w:t>Možnost změny nastavení náklonu svítidla od -10</w:t>
      </w:r>
      <w:r w:rsidRPr="005C1D16">
        <w:rPr>
          <w:rFonts w:ascii="Palatino Linotype" w:hAnsi="Palatino Linotype"/>
          <w:vertAlign w:val="superscript"/>
        </w:rPr>
        <w:t xml:space="preserve">0 </w:t>
      </w:r>
      <w:r w:rsidRPr="005C1D16">
        <w:rPr>
          <w:rFonts w:ascii="Palatino Linotype" w:hAnsi="Palatino Linotype"/>
        </w:rPr>
        <w:t>do +5</w:t>
      </w:r>
      <w:r w:rsidRPr="005C1D16">
        <w:rPr>
          <w:rFonts w:ascii="Palatino Linotype" w:hAnsi="Palatino Linotype"/>
          <w:vertAlign w:val="superscript"/>
        </w:rPr>
        <w:t xml:space="preserve"> 0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Svítidlo musí být vybaveno členem na udržování stálého světelného toku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Možnost připojení modulu s dálkovým řízením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Pracovní teplota v rozsahu do 55</w:t>
      </w:r>
      <w:r w:rsidRPr="005C1D16">
        <w:rPr>
          <w:rFonts w:ascii="Palatino Linotype" w:hAnsi="Palatino Linotype"/>
          <w:vertAlign w:val="superscript"/>
        </w:rPr>
        <w:t>0</w:t>
      </w:r>
      <w:r w:rsidRPr="005C1D16">
        <w:rPr>
          <w:rFonts w:ascii="Palatino Linotype" w:hAnsi="Palatino Linotype"/>
        </w:rPr>
        <w:t xml:space="preserve"> C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Index podání barev větší jak 70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Záruka na svítidlo minimálně 5 let</w:t>
      </w:r>
    </w:p>
    <w:p w:rsidR="00CC5E37" w:rsidRPr="005C1D16" w:rsidRDefault="00CC5E37" w:rsidP="005C1D16">
      <w:pPr>
        <w:pStyle w:val="Odstavecseseznamem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Hmotnost svítidla do 5kg  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</w:p>
    <w:p w:rsidR="00CC5E37" w:rsidRPr="005C1D16" w:rsidRDefault="00CC5E37" w:rsidP="00B573C5">
      <w:pPr>
        <w:ind w:left="360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(*) podle IEC – EN 60598</w:t>
      </w:r>
      <w:r w:rsidRPr="005C1D16">
        <w:rPr>
          <w:rFonts w:ascii="Palatino Linotype" w:hAnsi="Palatino Linotype"/>
        </w:rPr>
        <w:br/>
        <w:t>(**) podle IEC – EN 62262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</w:p>
    <w:p w:rsidR="00CC5E37" w:rsidRPr="005C1D16" w:rsidRDefault="00CC5E37" w:rsidP="005C1D16">
      <w:pPr>
        <w:pStyle w:val="Odstavecseseznamem"/>
        <w:numPr>
          <w:ilvl w:val="0"/>
          <w:numId w:val="21"/>
        </w:numPr>
        <w:ind w:left="1068"/>
        <w:jc w:val="both"/>
        <w:rPr>
          <w:rFonts w:ascii="Palatino Linotype" w:hAnsi="Palatino Linotype"/>
          <w:b/>
        </w:rPr>
      </w:pPr>
      <w:r w:rsidRPr="005C1D16">
        <w:rPr>
          <w:rFonts w:ascii="Palatino Linotype" w:hAnsi="Palatino Linotype"/>
          <w:b/>
        </w:rPr>
        <w:t>Příkon svítidla pro komunikace zatříděné ME6, S3, S4 bude maximálně 20W</w:t>
      </w:r>
    </w:p>
    <w:p w:rsidR="00CC5E37" w:rsidRPr="005C1D16" w:rsidRDefault="00CC5E37" w:rsidP="005C1D16">
      <w:pPr>
        <w:pStyle w:val="Odstavecseseznamem"/>
        <w:numPr>
          <w:ilvl w:val="0"/>
          <w:numId w:val="21"/>
        </w:numPr>
        <w:ind w:left="1068"/>
        <w:jc w:val="both"/>
        <w:rPr>
          <w:rFonts w:ascii="Palatino Linotype" w:hAnsi="Palatino Linotype"/>
          <w:b/>
        </w:rPr>
      </w:pPr>
      <w:r w:rsidRPr="005C1D16">
        <w:rPr>
          <w:rFonts w:ascii="Palatino Linotype" w:hAnsi="Palatino Linotype"/>
          <w:b/>
        </w:rPr>
        <w:t xml:space="preserve">Světelný tok svítidla </w:t>
      </w:r>
      <w:proofErr w:type="gramStart"/>
      <w:r w:rsidRPr="005C1D16">
        <w:rPr>
          <w:rFonts w:ascii="Palatino Linotype" w:hAnsi="Palatino Linotype"/>
          <w:b/>
        </w:rPr>
        <w:t>pro kom. zatříděné</w:t>
      </w:r>
      <w:proofErr w:type="gramEnd"/>
      <w:r w:rsidRPr="005C1D16">
        <w:rPr>
          <w:rFonts w:ascii="Palatino Linotype" w:hAnsi="Palatino Linotype"/>
          <w:b/>
        </w:rPr>
        <w:t xml:space="preserve">  ME6, S3, S4 bude minimálně 2020 </w:t>
      </w:r>
      <w:proofErr w:type="spellStart"/>
      <w:r w:rsidRPr="005C1D16">
        <w:rPr>
          <w:rFonts w:ascii="Palatino Linotype" w:hAnsi="Palatino Linotype"/>
          <w:b/>
        </w:rPr>
        <w:t>lm</w:t>
      </w:r>
      <w:proofErr w:type="spellEnd"/>
    </w:p>
    <w:p w:rsidR="00CC5E37" w:rsidRPr="005C1D16" w:rsidRDefault="00CC5E37" w:rsidP="005C1D16">
      <w:pPr>
        <w:pStyle w:val="Odstavecseseznamem"/>
        <w:numPr>
          <w:ilvl w:val="0"/>
          <w:numId w:val="21"/>
        </w:numPr>
        <w:ind w:left="1068"/>
        <w:jc w:val="both"/>
        <w:rPr>
          <w:rFonts w:ascii="Palatino Linotype" w:hAnsi="Palatino Linotype"/>
          <w:b/>
        </w:rPr>
      </w:pPr>
      <w:r w:rsidRPr="005C1D16">
        <w:rPr>
          <w:rFonts w:ascii="Palatino Linotype" w:hAnsi="Palatino Linotype"/>
          <w:b/>
        </w:rPr>
        <w:t xml:space="preserve">Počet LED ve svítidle pro komunikace zatříděné ME6, S3, S4 bude maximálně 16 ks </w:t>
      </w:r>
    </w:p>
    <w:p w:rsidR="00CC5E37" w:rsidRPr="005C1D16" w:rsidRDefault="00CC5E37" w:rsidP="005C1D16">
      <w:pPr>
        <w:pStyle w:val="Odstavecseseznamem"/>
        <w:numPr>
          <w:ilvl w:val="0"/>
          <w:numId w:val="21"/>
        </w:numPr>
        <w:ind w:left="1068"/>
        <w:jc w:val="both"/>
        <w:rPr>
          <w:rFonts w:ascii="Palatino Linotype" w:hAnsi="Palatino Linotype"/>
          <w:b/>
        </w:rPr>
      </w:pPr>
      <w:r w:rsidRPr="005C1D16">
        <w:rPr>
          <w:rFonts w:ascii="Palatino Linotype" w:hAnsi="Palatino Linotype"/>
          <w:b/>
        </w:rPr>
        <w:t xml:space="preserve">Svítidlo </w:t>
      </w:r>
      <w:r w:rsidR="00F14179" w:rsidRPr="005C1D16">
        <w:rPr>
          <w:rFonts w:ascii="Palatino Linotype" w:hAnsi="Palatino Linotype"/>
          <w:b/>
        </w:rPr>
        <w:t>bude</w:t>
      </w:r>
      <w:r w:rsidRPr="005C1D16">
        <w:rPr>
          <w:rFonts w:ascii="Palatino Linotype" w:hAnsi="Palatino Linotype"/>
          <w:b/>
        </w:rPr>
        <w:t xml:space="preserve"> vybaveno plně programovatelným napáječem, umožňujícím nahrání řídících spínacích/regulačních diagramů a řízením konstantního světelného toku </w:t>
      </w:r>
    </w:p>
    <w:p w:rsidR="00CC5E37" w:rsidRPr="005C1D16" w:rsidRDefault="00CC5E37" w:rsidP="005C1D16">
      <w:pPr>
        <w:pStyle w:val="Odstavecseseznamem"/>
        <w:numPr>
          <w:ilvl w:val="0"/>
          <w:numId w:val="22"/>
        </w:numPr>
        <w:ind w:left="1068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Svítidla musí splňovat veškeré legislativní podmínky pro použití v České republice, především zákon č. 22/1997 Sb.</w:t>
      </w:r>
      <w:r w:rsidR="00B573C5">
        <w:rPr>
          <w:rFonts w:ascii="Palatino Linotype" w:hAnsi="Palatino Linotype"/>
        </w:rPr>
        <w:t>,</w:t>
      </w:r>
      <w:r w:rsidRPr="005C1D16">
        <w:rPr>
          <w:rFonts w:ascii="Palatino Linotype" w:hAnsi="Palatino Linotype"/>
        </w:rPr>
        <w:t xml:space="preserve"> o technických požadavcích na výrobky </w:t>
      </w:r>
      <w:r w:rsidR="00B573C5" w:rsidRPr="00B573C5">
        <w:rPr>
          <w:rFonts w:ascii="Palatino Linotype" w:hAnsi="Palatino Linotype"/>
        </w:rPr>
        <w:t>a o změně a doplnění některých zákonů</w:t>
      </w:r>
      <w:r w:rsidR="00B573C5">
        <w:rPr>
          <w:rFonts w:ascii="Palatino Linotype" w:hAnsi="Palatino Linotype"/>
        </w:rPr>
        <w:t xml:space="preserve">, </w:t>
      </w:r>
      <w:r w:rsidRPr="005C1D16">
        <w:rPr>
          <w:rFonts w:ascii="Palatino Linotype" w:hAnsi="Palatino Linotype"/>
        </w:rPr>
        <w:t xml:space="preserve">ve znění pozdějších předpisů 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</w:p>
    <w:p w:rsidR="00CC5E37" w:rsidRPr="005C1D16" w:rsidRDefault="00CC5E37" w:rsidP="005C1D16">
      <w:pPr>
        <w:pStyle w:val="Odstavecseseznamem"/>
        <w:numPr>
          <w:ilvl w:val="0"/>
          <w:numId w:val="23"/>
        </w:numPr>
        <w:jc w:val="both"/>
        <w:rPr>
          <w:rFonts w:ascii="Palatino Linotype" w:hAnsi="Palatino Linotype"/>
          <w:b/>
        </w:rPr>
      </w:pPr>
      <w:r w:rsidRPr="005C1D16">
        <w:rPr>
          <w:rFonts w:ascii="Palatino Linotype" w:hAnsi="Palatino Linotype"/>
          <w:b/>
        </w:rPr>
        <w:t xml:space="preserve">Požadavky na parametry osvětlení komunikace: 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lastRenderedPageBreak/>
        <w:t xml:space="preserve">Osvětlení komunikací se řídí ustanoveními ČSN 36 0400, ČSN 36 0410, ČSN EN 13201-2, ČSN EN 13201-3, ČSN EN 13201-4. 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  <w:u w:val="single"/>
        </w:rPr>
      </w:pPr>
      <w:r w:rsidRPr="005C1D16">
        <w:rPr>
          <w:rFonts w:ascii="Palatino Linotype" w:hAnsi="Palatino Linotype"/>
          <w:u w:val="single"/>
        </w:rPr>
        <w:t>Komunikace třídy ME6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Požadavky ČSN EN 13201 na třídu osvětlení ME6:</w:t>
      </w:r>
    </w:p>
    <w:p w:rsidR="00CC5E37" w:rsidRPr="005C1D16" w:rsidRDefault="00CC5E37" w:rsidP="005C1D16">
      <w:pPr>
        <w:pStyle w:val="Odstavecseseznamem"/>
        <w:numPr>
          <w:ilvl w:val="0"/>
          <w:numId w:val="24"/>
        </w:numPr>
        <w:tabs>
          <w:tab w:val="left" w:pos="1134"/>
          <w:tab w:val="left" w:pos="6946"/>
        </w:tabs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průměrný </w:t>
      </w:r>
      <w:r w:rsidR="006C4316" w:rsidRPr="005C1D16">
        <w:rPr>
          <w:rFonts w:ascii="Palatino Linotype" w:hAnsi="Palatino Linotype"/>
        </w:rPr>
        <w:t xml:space="preserve">jas povrchu pozemní komunikace </w:t>
      </w:r>
      <w:r w:rsidRPr="005C1D16">
        <w:rPr>
          <w:rFonts w:ascii="Palatino Linotype" w:hAnsi="Palatino Linotype"/>
        </w:rPr>
        <w:tab/>
        <w:t>≥ 0,3  cd/m2</w:t>
      </w:r>
    </w:p>
    <w:p w:rsidR="00CC5E37" w:rsidRPr="005C1D16" w:rsidRDefault="00CC5E37" w:rsidP="005C1D16">
      <w:pPr>
        <w:pStyle w:val="Odstavecseseznamem"/>
        <w:numPr>
          <w:ilvl w:val="0"/>
          <w:numId w:val="24"/>
        </w:numPr>
        <w:tabs>
          <w:tab w:val="left" w:pos="1134"/>
          <w:tab w:val="left" w:pos="6946"/>
        </w:tabs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celková rovnoměrnost jas</w:t>
      </w:r>
      <w:r w:rsidR="006C4316" w:rsidRPr="005C1D16">
        <w:rPr>
          <w:rFonts w:ascii="Palatino Linotype" w:hAnsi="Palatino Linotype"/>
        </w:rPr>
        <w:t>u povrchu pozemní komunikace</w:t>
      </w:r>
      <w:r w:rsidR="006C4316" w:rsidRPr="005C1D16">
        <w:rPr>
          <w:rFonts w:ascii="Palatino Linotype" w:hAnsi="Palatino Linotype"/>
        </w:rPr>
        <w:tab/>
      </w:r>
      <w:r w:rsidRPr="005C1D16">
        <w:rPr>
          <w:rFonts w:ascii="Palatino Linotype" w:hAnsi="Palatino Linotype"/>
        </w:rPr>
        <w:t>≥ 0,35</w:t>
      </w:r>
    </w:p>
    <w:p w:rsidR="00CC5E37" w:rsidRPr="005C1D16" w:rsidRDefault="00CC5E37" w:rsidP="005C1D16">
      <w:pPr>
        <w:pStyle w:val="Odstavecseseznamem"/>
        <w:numPr>
          <w:ilvl w:val="0"/>
          <w:numId w:val="24"/>
        </w:numPr>
        <w:tabs>
          <w:tab w:val="left" w:pos="1134"/>
          <w:tab w:val="left" w:pos="6946"/>
        </w:tabs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podélná rovnoměrnost jas</w:t>
      </w:r>
      <w:r w:rsidR="006C4316" w:rsidRPr="005C1D16">
        <w:rPr>
          <w:rFonts w:ascii="Palatino Linotype" w:hAnsi="Palatino Linotype"/>
        </w:rPr>
        <w:t>u povrchu pozemní komunikace</w:t>
      </w:r>
      <w:r w:rsidR="006C4316" w:rsidRPr="005C1D16">
        <w:rPr>
          <w:rFonts w:ascii="Palatino Linotype" w:hAnsi="Palatino Linotype"/>
        </w:rPr>
        <w:tab/>
      </w:r>
      <w:r w:rsidRPr="005C1D16">
        <w:rPr>
          <w:rFonts w:ascii="Palatino Linotype" w:hAnsi="Palatino Linotype"/>
        </w:rPr>
        <w:t>≥ 0,4</w:t>
      </w:r>
    </w:p>
    <w:p w:rsidR="00CC5E37" w:rsidRPr="005C1D16" w:rsidRDefault="006C4316" w:rsidP="005C1D16">
      <w:pPr>
        <w:pStyle w:val="Odstavecseseznamem"/>
        <w:numPr>
          <w:ilvl w:val="0"/>
          <w:numId w:val="24"/>
        </w:numPr>
        <w:tabs>
          <w:tab w:val="left" w:pos="1134"/>
          <w:tab w:val="left" w:pos="6946"/>
        </w:tabs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činitel oslnění TI </w:t>
      </w:r>
      <w:r w:rsidRPr="005C1D16">
        <w:rPr>
          <w:rFonts w:ascii="Palatino Linotype" w:hAnsi="Palatino Linotype"/>
        </w:rPr>
        <w:tab/>
      </w:r>
      <w:r w:rsidR="00CC5E37" w:rsidRPr="005C1D16">
        <w:rPr>
          <w:rFonts w:ascii="Palatino Linotype" w:hAnsi="Palatino Linotype"/>
          <w:lang w:val="en-US"/>
        </w:rPr>
        <w:t>&lt;</w:t>
      </w:r>
      <w:r w:rsidR="00CC5E37" w:rsidRPr="005C1D16">
        <w:rPr>
          <w:rFonts w:ascii="Palatino Linotype" w:hAnsi="Palatino Linotype"/>
        </w:rPr>
        <w:t xml:space="preserve"> 15 %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  <w:u w:val="single"/>
        </w:rPr>
      </w:pPr>
      <w:r w:rsidRPr="005C1D16">
        <w:rPr>
          <w:rFonts w:ascii="Palatino Linotype" w:hAnsi="Palatino Linotype"/>
          <w:u w:val="single"/>
        </w:rPr>
        <w:t>Komunikace třídy S3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Požadavky ČSN EN 13201 na třídu osvětlení S3:</w:t>
      </w:r>
    </w:p>
    <w:p w:rsidR="00CC5E37" w:rsidRPr="005C1D16" w:rsidRDefault="00CC5E37" w:rsidP="005C1D16">
      <w:pPr>
        <w:pStyle w:val="Odstavecseseznamem"/>
        <w:numPr>
          <w:ilvl w:val="0"/>
          <w:numId w:val="24"/>
        </w:numPr>
        <w:tabs>
          <w:tab w:val="left" w:pos="1134"/>
          <w:tab w:val="left" w:pos="6946"/>
        </w:tabs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průměrná osvětleno</w:t>
      </w:r>
      <w:r w:rsidR="00D32D51" w:rsidRPr="005C1D16">
        <w:rPr>
          <w:rFonts w:ascii="Palatino Linotype" w:hAnsi="Palatino Linotype"/>
        </w:rPr>
        <w:t>st úseku pozemní komunikace</w:t>
      </w:r>
      <w:r w:rsidR="00D32D51" w:rsidRPr="005C1D16">
        <w:rPr>
          <w:rFonts w:ascii="Palatino Linotype" w:hAnsi="Palatino Linotype"/>
        </w:rPr>
        <w:tab/>
      </w:r>
      <w:r w:rsidRPr="005C1D16">
        <w:rPr>
          <w:rFonts w:ascii="Palatino Linotype" w:hAnsi="Palatino Linotype"/>
        </w:rPr>
        <w:t xml:space="preserve">≥ </w:t>
      </w:r>
      <w:proofErr w:type="gramStart"/>
      <w:r w:rsidRPr="005C1D16">
        <w:rPr>
          <w:rFonts w:ascii="Palatino Linotype" w:hAnsi="Palatino Linotype"/>
        </w:rPr>
        <w:t xml:space="preserve">7,5  </w:t>
      </w:r>
      <w:proofErr w:type="spellStart"/>
      <w:r w:rsidRPr="005C1D16">
        <w:rPr>
          <w:rFonts w:ascii="Palatino Linotype" w:hAnsi="Palatino Linotype"/>
        </w:rPr>
        <w:t>lx</w:t>
      </w:r>
      <w:proofErr w:type="spellEnd"/>
      <w:proofErr w:type="gramEnd"/>
      <w:r w:rsidRPr="005C1D16">
        <w:rPr>
          <w:rFonts w:ascii="Palatino Linotype" w:hAnsi="Palatino Linotype"/>
        </w:rPr>
        <w:t xml:space="preserve">  (max.</w:t>
      </w:r>
      <w:r w:rsidR="00D26DF2" w:rsidRPr="005C1D16">
        <w:rPr>
          <w:rFonts w:ascii="Palatino Linotype" w:hAnsi="Palatino Linotype"/>
        </w:rPr>
        <w:t xml:space="preserve"> </w:t>
      </w:r>
      <w:r w:rsidRPr="005C1D16">
        <w:rPr>
          <w:rFonts w:ascii="Palatino Linotype" w:hAnsi="Palatino Linotype"/>
        </w:rPr>
        <w:t xml:space="preserve">11,25 </w:t>
      </w:r>
      <w:proofErr w:type="spellStart"/>
      <w:r w:rsidRPr="005C1D16">
        <w:rPr>
          <w:rFonts w:ascii="Palatino Linotype" w:hAnsi="Palatino Linotype"/>
        </w:rPr>
        <w:t>lx</w:t>
      </w:r>
      <w:proofErr w:type="spellEnd"/>
      <w:r w:rsidRPr="005C1D16">
        <w:rPr>
          <w:rFonts w:ascii="Palatino Linotype" w:hAnsi="Palatino Linotype"/>
        </w:rPr>
        <w:t>)</w:t>
      </w:r>
    </w:p>
    <w:p w:rsidR="00CC5E37" w:rsidRPr="005C1D16" w:rsidRDefault="00CC5E37" w:rsidP="005C1D16">
      <w:pPr>
        <w:pStyle w:val="Odstavecseseznamem"/>
        <w:numPr>
          <w:ilvl w:val="0"/>
          <w:numId w:val="24"/>
        </w:numPr>
        <w:tabs>
          <w:tab w:val="left" w:pos="1134"/>
          <w:tab w:val="left" w:pos="6946"/>
        </w:tabs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minimální osvětle</w:t>
      </w:r>
      <w:r w:rsidR="00D32D51" w:rsidRPr="005C1D16">
        <w:rPr>
          <w:rFonts w:ascii="Palatino Linotype" w:hAnsi="Palatino Linotype"/>
        </w:rPr>
        <w:t>nost úseku pozemní komunikace</w:t>
      </w:r>
      <w:r w:rsidR="00D32D51" w:rsidRPr="005C1D16">
        <w:rPr>
          <w:rFonts w:ascii="Palatino Linotype" w:hAnsi="Palatino Linotype"/>
        </w:rPr>
        <w:tab/>
      </w:r>
      <w:r w:rsidRPr="005C1D16">
        <w:rPr>
          <w:rFonts w:ascii="Palatino Linotype" w:hAnsi="Palatino Linotype"/>
        </w:rPr>
        <w:t xml:space="preserve">≥ </w:t>
      </w:r>
      <w:proofErr w:type="gramStart"/>
      <w:r w:rsidRPr="005C1D16">
        <w:rPr>
          <w:rFonts w:ascii="Palatino Linotype" w:hAnsi="Palatino Linotype"/>
        </w:rPr>
        <w:t xml:space="preserve">1,5  </w:t>
      </w:r>
      <w:proofErr w:type="spellStart"/>
      <w:r w:rsidRPr="005C1D16">
        <w:rPr>
          <w:rFonts w:ascii="Palatino Linotype" w:hAnsi="Palatino Linotype"/>
        </w:rPr>
        <w:t>lx</w:t>
      </w:r>
      <w:proofErr w:type="spellEnd"/>
      <w:proofErr w:type="gramEnd"/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  <w:u w:val="single"/>
        </w:rPr>
      </w:pPr>
      <w:r w:rsidRPr="005C1D16">
        <w:rPr>
          <w:rFonts w:ascii="Palatino Linotype" w:hAnsi="Palatino Linotype"/>
          <w:u w:val="single"/>
        </w:rPr>
        <w:t>Komunikace třídy S4</w:t>
      </w:r>
    </w:p>
    <w:p w:rsidR="00CC5E37" w:rsidRPr="005C1D16" w:rsidRDefault="00CC5E37" w:rsidP="005C1D16">
      <w:pPr>
        <w:ind w:left="708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Požadavky ČSN EN 13201 na třídu osvětlení S4:</w:t>
      </w:r>
    </w:p>
    <w:p w:rsidR="00CC5E37" w:rsidRPr="005C1D16" w:rsidRDefault="00CC5E37" w:rsidP="005C1D16">
      <w:pPr>
        <w:pStyle w:val="Odstavecseseznamem"/>
        <w:numPr>
          <w:ilvl w:val="0"/>
          <w:numId w:val="24"/>
        </w:numPr>
        <w:tabs>
          <w:tab w:val="left" w:pos="1134"/>
          <w:tab w:val="left" w:pos="6946"/>
        </w:tabs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průměrná osvětleno</w:t>
      </w:r>
      <w:r w:rsidR="00D32D51" w:rsidRPr="005C1D16">
        <w:rPr>
          <w:rFonts w:ascii="Palatino Linotype" w:hAnsi="Palatino Linotype"/>
        </w:rPr>
        <w:t>st úseku pozemní komunikace</w:t>
      </w:r>
      <w:r w:rsidR="00D32D51" w:rsidRPr="005C1D16">
        <w:rPr>
          <w:rFonts w:ascii="Palatino Linotype" w:hAnsi="Palatino Linotype"/>
        </w:rPr>
        <w:tab/>
      </w:r>
      <w:r w:rsidRPr="005C1D16">
        <w:rPr>
          <w:rFonts w:ascii="Palatino Linotype" w:hAnsi="Palatino Linotype"/>
        </w:rPr>
        <w:t xml:space="preserve">≥ 5  </w:t>
      </w:r>
      <w:proofErr w:type="spellStart"/>
      <w:r w:rsidRPr="005C1D16">
        <w:rPr>
          <w:rFonts w:ascii="Palatino Linotype" w:hAnsi="Palatino Linotype"/>
        </w:rPr>
        <w:t>lx</w:t>
      </w:r>
      <w:proofErr w:type="spellEnd"/>
      <w:r w:rsidRPr="005C1D16">
        <w:rPr>
          <w:rFonts w:ascii="Palatino Linotype" w:hAnsi="Palatino Linotype"/>
        </w:rPr>
        <w:t xml:space="preserve">  (</w:t>
      </w:r>
      <w:proofErr w:type="gramStart"/>
      <w:r w:rsidRPr="005C1D16">
        <w:rPr>
          <w:rFonts w:ascii="Palatino Linotype" w:hAnsi="Palatino Linotype"/>
        </w:rPr>
        <w:t>max.7,5</w:t>
      </w:r>
      <w:proofErr w:type="gramEnd"/>
      <w:r w:rsidRPr="005C1D16">
        <w:rPr>
          <w:rFonts w:ascii="Palatino Linotype" w:hAnsi="Palatino Linotype"/>
        </w:rPr>
        <w:t xml:space="preserve"> </w:t>
      </w:r>
      <w:proofErr w:type="spellStart"/>
      <w:r w:rsidRPr="005C1D16">
        <w:rPr>
          <w:rFonts w:ascii="Palatino Linotype" w:hAnsi="Palatino Linotype"/>
        </w:rPr>
        <w:t>lx</w:t>
      </w:r>
      <w:proofErr w:type="spellEnd"/>
      <w:r w:rsidRPr="005C1D16">
        <w:rPr>
          <w:rFonts w:ascii="Palatino Linotype" w:hAnsi="Palatino Linotype"/>
        </w:rPr>
        <w:t>)</w:t>
      </w:r>
    </w:p>
    <w:p w:rsidR="00CC5E37" w:rsidRPr="005C1D16" w:rsidRDefault="00CC5E37" w:rsidP="005C1D16">
      <w:pPr>
        <w:pStyle w:val="Odstavecseseznamem"/>
        <w:numPr>
          <w:ilvl w:val="0"/>
          <w:numId w:val="24"/>
        </w:numPr>
        <w:tabs>
          <w:tab w:val="left" w:pos="1134"/>
          <w:tab w:val="left" w:pos="6946"/>
        </w:tabs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minimální osvětlen</w:t>
      </w:r>
      <w:r w:rsidR="00D32D51" w:rsidRPr="005C1D16">
        <w:rPr>
          <w:rFonts w:ascii="Palatino Linotype" w:hAnsi="Palatino Linotype"/>
        </w:rPr>
        <w:t xml:space="preserve">ost úseku pozemní </w:t>
      </w:r>
      <w:proofErr w:type="gramStart"/>
      <w:r w:rsidR="00D32D51" w:rsidRPr="005C1D16">
        <w:rPr>
          <w:rFonts w:ascii="Palatino Linotype" w:hAnsi="Palatino Linotype"/>
        </w:rPr>
        <w:t>komunikace</w:t>
      </w:r>
      <w:r w:rsidR="00D32D51" w:rsidRPr="005C1D16">
        <w:rPr>
          <w:rFonts w:ascii="Palatino Linotype" w:hAnsi="Palatino Linotype"/>
        </w:rPr>
        <w:tab/>
      </w:r>
      <w:r w:rsidRPr="005C1D16">
        <w:rPr>
          <w:rFonts w:ascii="Palatino Linotype" w:hAnsi="Palatino Linotype"/>
        </w:rPr>
        <w:t xml:space="preserve">≥ 1  </w:t>
      </w:r>
      <w:proofErr w:type="spellStart"/>
      <w:r w:rsidRPr="005C1D16">
        <w:rPr>
          <w:rFonts w:ascii="Palatino Linotype" w:hAnsi="Palatino Linotype"/>
        </w:rPr>
        <w:t>lx</w:t>
      </w:r>
      <w:proofErr w:type="spellEnd"/>
      <w:proofErr w:type="gramEnd"/>
    </w:p>
    <w:p w:rsidR="00000000" w:rsidRDefault="008403B3">
      <w:pPr>
        <w:ind w:left="708"/>
        <w:jc w:val="both"/>
        <w:rPr>
          <w:rFonts w:ascii="Palatino Linotype" w:hAnsi="Palatino Linotype"/>
        </w:rPr>
      </w:pPr>
    </w:p>
    <w:p w:rsidR="00000000" w:rsidRDefault="0017151D">
      <w:pPr>
        <w:ind w:left="426"/>
        <w:jc w:val="both"/>
        <w:rPr>
          <w:rFonts w:ascii="Palatino Linotype" w:hAnsi="Palatino Linotype"/>
        </w:rPr>
      </w:pPr>
      <w:r w:rsidRPr="0017151D">
        <w:rPr>
          <w:rFonts w:ascii="Palatino Linotype" w:hAnsi="Palatino Linotype"/>
          <w:b/>
          <w:u w:val="single"/>
        </w:rPr>
        <w:t>POŽADAVKY NA PROVEDENÍ SVĚTELNĚ TECHNICKÝCH VÝPOČTŮ</w:t>
      </w:r>
    </w:p>
    <w:p w:rsidR="00CC5E37" w:rsidRDefault="00A72769" w:rsidP="005C1D16">
      <w:pPr>
        <w:spacing w:after="120"/>
        <w:ind w:left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Uchazeči</w:t>
      </w:r>
      <w:r w:rsidR="0017151D" w:rsidRPr="0017151D">
        <w:rPr>
          <w:rFonts w:ascii="Palatino Linotype" w:hAnsi="Palatino Linotype"/>
        </w:rPr>
        <w:t xml:space="preserve"> </w:t>
      </w:r>
      <w:r w:rsidR="00173A52">
        <w:rPr>
          <w:rFonts w:ascii="Palatino Linotype" w:hAnsi="Palatino Linotype"/>
        </w:rPr>
        <w:t>vypracuj</w:t>
      </w:r>
      <w:r>
        <w:rPr>
          <w:rFonts w:ascii="Palatino Linotype" w:hAnsi="Palatino Linotype"/>
        </w:rPr>
        <w:t>í ve svých nabídkách</w:t>
      </w:r>
      <w:r w:rsidR="00173A52">
        <w:rPr>
          <w:rFonts w:ascii="Palatino Linotype" w:hAnsi="Palatino Linotype"/>
        </w:rPr>
        <w:t xml:space="preserve"> </w:t>
      </w:r>
      <w:r w:rsidR="00CC5E37" w:rsidRPr="005C1D16">
        <w:rPr>
          <w:rFonts w:ascii="Palatino Linotype" w:hAnsi="Palatino Linotype"/>
        </w:rPr>
        <w:t xml:space="preserve">světelně-technický výpočet dle </w:t>
      </w:r>
      <w:r>
        <w:rPr>
          <w:rFonts w:ascii="Palatino Linotype" w:hAnsi="Palatino Linotype"/>
        </w:rPr>
        <w:t xml:space="preserve">níže uvedené </w:t>
      </w:r>
      <w:r w:rsidR="00CC5E37" w:rsidRPr="005C1D16">
        <w:rPr>
          <w:rFonts w:ascii="Palatino Linotype" w:hAnsi="Palatino Linotype"/>
        </w:rPr>
        <w:t>Tabulky parametrů pro světelně technické výpočty</w:t>
      </w:r>
      <w:r>
        <w:rPr>
          <w:rFonts w:ascii="Palatino Linotype" w:hAnsi="Palatino Linotype"/>
        </w:rPr>
        <w:t xml:space="preserve"> (uchazeči doplní příslušná žlutě označená pole)</w:t>
      </w:r>
      <w:r w:rsidR="00CC5E37" w:rsidRPr="005C1D16">
        <w:rPr>
          <w:rFonts w:ascii="Palatino Linotype" w:hAnsi="Palatino Linotype"/>
        </w:rPr>
        <w:t xml:space="preserve">. Aby bylo možné navržená řešení porovnat s požadavky příslušných státních norem, budou </w:t>
      </w:r>
      <w:r w:rsidR="009D2AA2" w:rsidRPr="005C1D16">
        <w:rPr>
          <w:rFonts w:ascii="Palatino Linotype" w:hAnsi="Palatino Linotype"/>
        </w:rPr>
        <w:t>j</w:t>
      </w:r>
      <w:r w:rsidR="00CC5E37" w:rsidRPr="005C1D16">
        <w:rPr>
          <w:rFonts w:ascii="Palatino Linotype" w:hAnsi="Palatino Linotype"/>
        </w:rPr>
        <w:t>ako doplněk výpočtu dod</w:t>
      </w:r>
      <w:r w:rsidR="009D2AA2" w:rsidRPr="005C1D16">
        <w:rPr>
          <w:rFonts w:ascii="Palatino Linotype" w:hAnsi="Palatino Linotype"/>
        </w:rPr>
        <w:t>ány</w:t>
      </w:r>
      <w:r w:rsidR="00CC5E37" w:rsidRPr="005C1D16">
        <w:rPr>
          <w:rFonts w:ascii="Palatino Linotype" w:hAnsi="Palatino Linotype"/>
        </w:rPr>
        <w:t xml:space="preserve"> světelně-technické parametry svítidel v datové (</w:t>
      </w:r>
      <w:proofErr w:type="spellStart"/>
      <w:r w:rsidR="00CC5E37" w:rsidRPr="005C1D16">
        <w:rPr>
          <w:rFonts w:ascii="Palatino Linotype" w:hAnsi="Palatino Linotype"/>
        </w:rPr>
        <w:t>eulumdata</w:t>
      </w:r>
      <w:proofErr w:type="spellEnd"/>
      <w:r w:rsidR="00CC5E37" w:rsidRPr="005C1D16">
        <w:rPr>
          <w:rFonts w:ascii="Palatino Linotype" w:hAnsi="Palatino Linotype"/>
        </w:rPr>
        <w:t>) i </w:t>
      </w:r>
      <w:r w:rsidR="004444DA" w:rsidRPr="005C1D16">
        <w:rPr>
          <w:rFonts w:ascii="Palatino Linotype" w:hAnsi="Palatino Linotype"/>
        </w:rPr>
        <w:t xml:space="preserve">v </w:t>
      </w:r>
      <w:r w:rsidR="00CC5E37" w:rsidRPr="005C1D16">
        <w:rPr>
          <w:rFonts w:ascii="Palatino Linotype" w:hAnsi="Palatino Linotype"/>
        </w:rPr>
        <w:t>tištěné podobě (světelná vyzařovací charakteristika s jednotkami).</w:t>
      </w:r>
    </w:p>
    <w:tbl>
      <w:tblPr>
        <w:tblW w:w="9830" w:type="dxa"/>
        <w:tblInd w:w="446" w:type="dxa"/>
        <w:tblCellMar>
          <w:left w:w="0" w:type="dxa"/>
          <w:right w:w="0" w:type="dxa"/>
        </w:tblCellMar>
        <w:tblLook w:val="04A0"/>
      </w:tblPr>
      <w:tblGrid>
        <w:gridCol w:w="1444"/>
        <w:gridCol w:w="1500"/>
        <w:gridCol w:w="1500"/>
        <w:gridCol w:w="900"/>
        <w:gridCol w:w="900"/>
        <w:gridCol w:w="726"/>
        <w:gridCol w:w="567"/>
        <w:gridCol w:w="567"/>
        <w:gridCol w:w="680"/>
        <w:gridCol w:w="560"/>
        <w:gridCol w:w="500"/>
      </w:tblGrid>
      <w:tr w:rsidR="00A72769" w:rsidTr="00A72769">
        <w:trPr>
          <w:trHeight w:val="720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Stavební objekt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třída komunikace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šířka komunikace (m)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výška sloupu (m)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rozteč sloupů (m)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Emin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color w:val="000000"/>
              </w:rPr>
              <w:t>Eav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color w:val="000000"/>
              </w:rPr>
              <w:t>Lav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color w:val="000000"/>
              </w:rPr>
              <w:t>Uo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color w:val="000000"/>
              </w:rPr>
              <w:t>Ul</w:t>
            </w:r>
            <w:proofErr w:type="spellEnd"/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TI</w:t>
            </w:r>
          </w:p>
        </w:tc>
      </w:tr>
      <w:tr w:rsidR="00A72769" w:rsidTr="00A72769">
        <w:trPr>
          <w:trHeight w:val="288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SO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ME6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17151D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 w:rsidP="00B526D2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 w:rsidP="00B526D2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17151D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17151D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17151D" w:rsidP="0017151D">
            <w:pPr>
              <w:jc w:val="center"/>
              <w:rPr>
                <w:rFonts w:ascii="Palatino Linotype" w:eastAsiaTheme="minorHAnsi" w:hAnsi="Palatino Linotype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17151D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</w:p>
        </w:tc>
      </w:tr>
      <w:tr w:rsidR="00A72769" w:rsidTr="00A72769">
        <w:trPr>
          <w:trHeight w:val="288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Parametry požadované dle ČSN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pro ME6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 w:rsidP="00B526D2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 w:rsidP="00B526D2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alatino Linotype" w:hAnsi="Palatino Linotype"/>
                <w:color w:val="000000"/>
              </w:rPr>
              <w:t>≥0,3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alatino Linotype" w:hAnsi="Palatino Linotype"/>
                <w:color w:val="000000"/>
              </w:rPr>
              <w:t>≥0,35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alatino Linotype" w:hAnsi="Palatino Linotype"/>
                <w:color w:val="000000"/>
              </w:rPr>
              <w:t>≥0,4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≤15</w:t>
            </w:r>
          </w:p>
        </w:tc>
      </w:tr>
      <w:tr w:rsidR="00A72769" w:rsidTr="00A72769">
        <w:trPr>
          <w:trHeight w:val="288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SO 11, SO 12,  SO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S4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17151D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17151D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17151D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--</w:t>
            </w:r>
          </w:p>
        </w:tc>
      </w:tr>
      <w:tr w:rsidR="00A72769" w:rsidTr="00A72769">
        <w:trPr>
          <w:trHeight w:val="288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Parametry požadované dle ČSN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pro S4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≥1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 w:rsidP="0017151D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≥5*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 w:rsidP="00B526D2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26D2" w:rsidRDefault="00B526D2" w:rsidP="00B526D2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51D" w:rsidRDefault="00B526D2">
            <w:pPr>
              <w:jc w:val="center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>-</w:t>
            </w:r>
          </w:p>
        </w:tc>
      </w:tr>
      <w:tr w:rsidR="00B526D2" w:rsidTr="00A72769">
        <w:trPr>
          <w:trHeight w:val="288"/>
        </w:trPr>
        <w:tc>
          <w:tcPr>
            <w:tcW w:w="983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26D2" w:rsidRDefault="00B526D2">
            <w:pPr>
              <w:jc w:val="both"/>
              <w:rPr>
                <w:rFonts w:ascii="Palatino Linotype" w:eastAsiaTheme="minorHAnsi" w:hAnsi="Palatino Linotyp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color w:val="000000"/>
              </w:rPr>
              <w:t xml:space="preserve">*aby bylo dosaženo potřebné rovnoměrnosti, nesmí skutečná průměrná udržovaná hodnota osvětlenosti překročit 1,5 násobek hodnoty </w:t>
            </w:r>
            <w:proofErr w:type="spellStart"/>
            <w:r>
              <w:rPr>
                <w:rFonts w:ascii="Palatino Linotype" w:hAnsi="Palatino Linotype"/>
                <w:color w:val="000000"/>
              </w:rPr>
              <w:t>Eav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uvedené v tabulce (max. 7,5)</w:t>
            </w:r>
          </w:p>
        </w:tc>
      </w:tr>
    </w:tbl>
    <w:p w:rsidR="00B526D2" w:rsidRDefault="00B526D2" w:rsidP="00B526D2">
      <w:pPr>
        <w:spacing w:after="120"/>
        <w:ind w:left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povrch: R3, q0=0,07</w:t>
      </w:r>
    </w:p>
    <w:p w:rsidR="00B526D2" w:rsidRDefault="00B526D2" w:rsidP="00B526D2">
      <w:pPr>
        <w:spacing w:after="120"/>
        <w:ind w:left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jednostranná soustava</w:t>
      </w:r>
    </w:p>
    <w:p w:rsidR="00B526D2" w:rsidRDefault="00B526D2" w:rsidP="00B526D2">
      <w:pPr>
        <w:spacing w:after="120"/>
        <w:ind w:left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pozice svítidel -1m od hrany komunikace</w:t>
      </w:r>
    </w:p>
    <w:p w:rsidR="00B526D2" w:rsidRDefault="00B526D2" w:rsidP="00B526D2">
      <w:pPr>
        <w:spacing w:after="120"/>
        <w:ind w:left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 jízdní pruhy pro případ SO 13</w:t>
      </w:r>
    </w:p>
    <w:p w:rsidR="00B526D2" w:rsidRDefault="00B526D2" w:rsidP="00B526D2">
      <w:pPr>
        <w:spacing w:after="120"/>
        <w:ind w:left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činitel údržby MF=0,93 (svítidlo s členem pro udržení konstantního světelného toku)</w:t>
      </w:r>
    </w:p>
    <w:p w:rsidR="00B526D2" w:rsidRDefault="00B526D2" w:rsidP="00B526D2">
      <w:pPr>
        <w:spacing w:after="120"/>
        <w:ind w:left="425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Rozteč stožárů bude dopočítána dle zadaných parametrů komunikací tak, aby byly splněny požadavky normy ČSN.</w:t>
      </w:r>
    </w:p>
    <w:p w:rsidR="00B526D2" w:rsidRDefault="00B526D2" w:rsidP="00B526D2">
      <w:pPr>
        <w:spacing w:after="120"/>
        <w:ind w:left="425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(ČSN 36 0400, ČSN 36 0410, ČSN EN 13201-2, ČSN EN 13201-3, ČSN EN 13201-4)</w:t>
      </w:r>
    </w:p>
    <w:p w:rsidR="00EE276C" w:rsidRPr="005C1D16" w:rsidRDefault="00EE276C" w:rsidP="005C1D16">
      <w:pPr>
        <w:tabs>
          <w:tab w:val="left" w:pos="7770"/>
          <w:tab w:val="left" w:pos="8479"/>
          <w:tab w:val="left" w:pos="9046"/>
          <w:tab w:val="left" w:pos="9755"/>
        </w:tabs>
        <w:ind w:left="426"/>
        <w:jc w:val="both"/>
        <w:rPr>
          <w:rFonts w:ascii="Palatino Linotype" w:hAnsi="Palatino Linotype" w:cs="Arial"/>
          <w:color w:val="000000"/>
        </w:rPr>
      </w:pPr>
    </w:p>
    <w:p w:rsidR="00000000" w:rsidRDefault="0017151D">
      <w:pPr>
        <w:spacing w:after="120"/>
        <w:ind w:left="425"/>
        <w:jc w:val="both"/>
        <w:rPr>
          <w:rFonts w:ascii="Palatino Linotype" w:hAnsi="Palatino Linotype"/>
        </w:rPr>
      </w:pPr>
      <w:r w:rsidRPr="0017151D">
        <w:rPr>
          <w:rFonts w:ascii="Palatino Linotype" w:hAnsi="Palatino Linotype"/>
          <w:b/>
          <w:u w:val="single"/>
        </w:rPr>
        <w:t>OVĚŘENÍ SVĚTELNĚ TECHNICKÝCH VÝPOČTŮ MĚŘENÍM</w:t>
      </w:r>
    </w:p>
    <w:p w:rsidR="00CC5E37" w:rsidRPr="009E37E1" w:rsidRDefault="001A5095" w:rsidP="00DA55BB">
      <w:pPr>
        <w:spacing w:after="120"/>
        <w:ind w:left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Společnost (vítězný uchazeč)</w:t>
      </w:r>
      <w:r w:rsidR="00DA55BB">
        <w:rPr>
          <w:rFonts w:ascii="Palatino Linotype" w:hAnsi="Palatino Linotype"/>
        </w:rPr>
        <w:t xml:space="preserve"> </w:t>
      </w:r>
      <w:r w:rsidR="00CC5E37" w:rsidRPr="00DA55BB">
        <w:rPr>
          <w:rFonts w:ascii="Palatino Linotype" w:hAnsi="Palatino Linotype"/>
        </w:rPr>
        <w:t xml:space="preserve">po provedení instalace provede kontrolní měření dosažených světelně technických parametrů navržených </w:t>
      </w:r>
      <w:r w:rsidR="0017151D" w:rsidRPr="0017151D">
        <w:rPr>
          <w:rFonts w:ascii="Palatino Linotype" w:hAnsi="Palatino Linotype"/>
        </w:rPr>
        <w:t>svítidel vzorových komunikací dle přiložené tabulky</w:t>
      </w:r>
      <w:r w:rsidR="00DA55BB">
        <w:rPr>
          <w:rFonts w:ascii="Palatino Linotype" w:hAnsi="Palatino Linotype"/>
        </w:rPr>
        <w:t xml:space="preserve"> výše</w:t>
      </w:r>
      <w:r w:rsidR="0017151D" w:rsidRPr="0017151D">
        <w:rPr>
          <w:rFonts w:ascii="Palatino Linotype" w:hAnsi="Palatino Linotype"/>
        </w:rPr>
        <w:t xml:space="preserve">. </w:t>
      </w:r>
    </w:p>
    <w:p w:rsidR="00000000" w:rsidRDefault="008403B3">
      <w:pPr>
        <w:jc w:val="both"/>
        <w:rPr>
          <w:rFonts w:ascii="Palatino Linotype" w:hAnsi="Palatino Linotype"/>
        </w:rPr>
      </w:pPr>
    </w:p>
    <w:p w:rsidR="00441CD9" w:rsidRPr="005C1D16" w:rsidRDefault="0017151D" w:rsidP="005C1D16">
      <w:pPr>
        <w:pStyle w:val="Odstavecseseznamem"/>
        <w:numPr>
          <w:ilvl w:val="0"/>
          <w:numId w:val="1"/>
        </w:numPr>
        <w:spacing w:after="120"/>
        <w:jc w:val="both"/>
        <w:rPr>
          <w:rFonts w:ascii="Palatino Linotype" w:hAnsi="Palatino Linotype"/>
          <w:b/>
          <w:caps/>
        </w:rPr>
      </w:pPr>
      <w:r w:rsidRPr="0017151D">
        <w:rPr>
          <w:rFonts w:ascii="Palatino Linotype" w:hAnsi="Palatino Linotype"/>
          <w:b/>
          <w:caps/>
        </w:rPr>
        <w:t>Stožáry a konstrukce:</w:t>
      </w:r>
    </w:p>
    <w:p w:rsidR="002E5AB2" w:rsidRPr="005C1D16" w:rsidRDefault="00441CD9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Ocelové stožáry</w:t>
      </w:r>
      <w:r w:rsidR="006B61EB" w:rsidRPr="005C1D16">
        <w:rPr>
          <w:rFonts w:ascii="Palatino Linotype" w:hAnsi="Palatino Linotype"/>
        </w:rPr>
        <w:t xml:space="preserve"> válcové,</w:t>
      </w:r>
      <w:r w:rsidRPr="005C1D16">
        <w:rPr>
          <w:rFonts w:ascii="Palatino Linotype" w:hAnsi="Palatino Linotype"/>
        </w:rPr>
        <w:t xml:space="preserve"> oboustranně</w:t>
      </w:r>
      <w:r w:rsidR="00AF1DEE" w:rsidRPr="005C1D16">
        <w:rPr>
          <w:rFonts w:ascii="Palatino Linotype" w:hAnsi="Palatino Linotype"/>
        </w:rPr>
        <w:t xml:space="preserve"> žárově</w:t>
      </w:r>
      <w:r w:rsidRPr="005C1D16">
        <w:rPr>
          <w:rFonts w:ascii="Palatino Linotype" w:hAnsi="Palatino Linotype"/>
        </w:rPr>
        <w:t xml:space="preserve"> zinko</w:t>
      </w:r>
      <w:bookmarkStart w:id="1" w:name="_GoBack"/>
      <w:bookmarkEnd w:id="1"/>
      <w:r w:rsidRPr="005C1D16">
        <w:rPr>
          <w:rFonts w:ascii="Palatino Linotype" w:hAnsi="Palatino Linotype"/>
        </w:rPr>
        <w:t>vané</w:t>
      </w:r>
      <w:r w:rsidR="002E5AB2" w:rsidRPr="005C1D16">
        <w:rPr>
          <w:rFonts w:ascii="Palatino Linotype" w:hAnsi="Palatino Linotype"/>
        </w:rPr>
        <w:t xml:space="preserve">, </w:t>
      </w:r>
      <w:proofErr w:type="spellStart"/>
      <w:r w:rsidR="002E5AB2" w:rsidRPr="005C1D16">
        <w:rPr>
          <w:rFonts w:ascii="Palatino Linotype" w:hAnsi="Palatino Linotype"/>
        </w:rPr>
        <w:t>bezpaticové</w:t>
      </w:r>
      <w:proofErr w:type="spellEnd"/>
      <w:r w:rsidR="002E5AB2" w:rsidRPr="005C1D16">
        <w:rPr>
          <w:rFonts w:ascii="Palatino Linotype" w:hAnsi="Palatino Linotype"/>
        </w:rPr>
        <w:t xml:space="preserve"> provedení</w:t>
      </w:r>
    </w:p>
    <w:p w:rsidR="00C7415F" w:rsidRPr="005C1D16" w:rsidRDefault="00C7415F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Při montáži stožárů dvířka musí směřovat vždy proti směru jízdy</w:t>
      </w:r>
    </w:p>
    <w:p w:rsidR="005B65ED" w:rsidRPr="005C1D16" w:rsidRDefault="005B65ED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Minimální síly stěn u stožárů:</w:t>
      </w:r>
    </w:p>
    <w:p w:rsidR="005B65ED" w:rsidRPr="005C1D16" w:rsidRDefault="004B4C64" w:rsidP="005C1D16">
      <w:pPr>
        <w:pStyle w:val="Odstavecseseznamem"/>
        <w:numPr>
          <w:ilvl w:val="0"/>
          <w:numId w:val="12"/>
        </w:numPr>
        <w:spacing w:after="120"/>
        <w:ind w:left="1560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výška stožáru do 6m …………………</w:t>
      </w:r>
      <w:proofErr w:type="gramStart"/>
      <w:r w:rsidRPr="005C1D16">
        <w:rPr>
          <w:rFonts w:ascii="Palatino Linotype" w:hAnsi="Palatino Linotype"/>
        </w:rPr>
        <w:t>…</w:t>
      </w:r>
      <w:proofErr w:type="gramEnd"/>
      <w:r w:rsidRPr="005C1D16">
        <w:rPr>
          <w:rFonts w:ascii="Palatino Linotype" w:hAnsi="Palatino Linotype"/>
        </w:rPr>
        <w:t>.</w:t>
      </w:r>
      <w:proofErr w:type="gramStart"/>
      <w:r w:rsidR="005B65ED" w:rsidRPr="005C1D16">
        <w:rPr>
          <w:rFonts w:ascii="Palatino Linotype" w:hAnsi="Palatino Linotype"/>
        </w:rPr>
        <w:t>všechny</w:t>
      </w:r>
      <w:proofErr w:type="gramEnd"/>
      <w:r w:rsidR="005B65ED" w:rsidRPr="005C1D16">
        <w:rPr>
          <w:rFonts w:ascii="Palatino Linotype" w:hAnsi="Palatino Linotype"/>
        </w:rPr>
        <w:t xml:space="preserve"> díly 3 mm</w:t>
      </w:r>
    </w:p>
    <w:p w:rsidR="005B65ED" w:rsidRPr="005C1D16" w:rsidRDefault="005B65ED" w:rsidP="005C1D16">
      <w:pPr>
        <w:pStyle w:val="Odstavecseseznamem"/>
        <w:numPr>
          <w:ilvl w:val="0"/>
          <w:numId w:val="12"/>
        </w:numPr>
        <w:spacing w:after="120"/>
        <w:ind w:left="1560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výš</w:t>
      </w:r>
      <w:r w:rsidR="004B4C64" w:rsidRPr="005C1D16">
        <w:rPr>
          <w:rFonts w:ascii="Palatino Linotype" w:hAnsi="Palatino Linotype"/>
        </w:rPr>
        <w:t>ka stožáru nad 6 m do 12 m ……</w:t>
      </w:r>
      <w:r w:rsidRPr="005C1D16">
        <w:rPr>
          <w:rFonts w:ascii="Palatino Linotype" w:hAnsi="Palatino Linotype"/>
        </w:rPr>
        <w:t>spodní díl 4 mm, ostatní díly 3 mm</w:t>
      </w:r>
    </w:p>
    <w:p w:rsidR="00AF1DEE" w:rsidRPr="005C1D16" w:rsidRDefault="00AF1DEE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Maxi</w:t>
      </w:r>
      <w:r w:rsidR="00056041" w:rsidRPr="005C1D16">
        <w:rPr>
          <w:rFonts w:ascii="Palatino Linotype" w:hAnsi="Palatino Linotype"/>
        </w:rPr>
        <w:t>mální vrcholové zatížení</w:t>
      </w:r>
      <w:r w:rsidR="00B86F4C" w:rsidRPr="005C1D16">
        <w:rPr>
          <w:rFonts w:ascii="Palatino Linotype" w:hAnsi="Palatino Linotype"/>
        </w:rPr>
        <w:t>:</w:t>
      </w:r>
    </w:p>
    <w:p w:rsidR="00BC51D3" w:rsidRPr="005C1D16" w:rsidRDefault="00BC51D3" w:rsidP="005C1D16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do 6m včetně</w:t>
      </w:r>
      <w:r w:rsidR="00B86F4C" w:rsidRPr="005C1D16">
        <w:rPr>
          <w:rFonts w:ascii="Palatino Linotype" w:hAnsi="Palatino Linotype"/>
        </w:rPr>
        <w:t xml:space="preserve"> – </w:t>
      </w:r>
      <w:r w:rsidR="00056041" w:rsidRPr="005C1D16">
        <w:rPr>
          <w:rFonts w:ascii="Palatino Linotype" w:hAnsi="Palatino Linotype"/>
        </w:rPr>
        <w:t>40kg</w:t>
      </w:r>
    </w:p>
    <w:p w:rsidR="00BC51D3" w:rsidRPr="005C1D16" w:rsidRDefault="00BC51D3" w:rsidP="005C1D16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nad 6m do 10m včetně </w:t>
      </w:r>
      <w:r w:rsidR="00056041" w:rsidRPr="005C1D16">
        <w:rPr>
          <w:rFonts w:ascii="Palatino Linotype" w:hAnsi="Palatino Linotype"/>
        </w:rPr>
        <w:t>– 40kg</w:t>
      </w:r>
    </w:p>
    <w:p w:rsidR="00BC51D3" w:rsidRPr="005C1D16" w:rsidRDefault="00BC51D3" w:rsidP="005C1D16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nad 10m</w:t>
      </w:r>
      <w:r w:rsidR="00056041" w:rsidRPr="005C1D16">
        <w:rPr>
          <w:rFonts w:ascii="Palatino Linotype" w:hAnsi="Palatino Linotype"/>
        </w:rPr>
        <w:t xml:space="preserve"> – 40kg</w:t>
      </w:r>
    </w:p>
    <w:p w:rsidR="00AF1DEE" w:rsidRPr="005C1D16" w:rsidRDefault="00AF1DEE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Statická odolnost vůči dynamickému namáhání</w:t>
      </w:r>
    </w:p>
    <w:p w:rsidR="00C7415F" w:rsidRPr="005C1D16" w:rsidRDefault="00C7415F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Výložníky oboustranně žárově zinkované</w:t>
      </w:r>
    </w:p>
    <w:p w:rsidR="00B86850" w:rsidRPr="005C1D16" w:rsidRDefault="00B86850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Kabelová svorkovnice umístěná přímo v těle stožáru</w:t>
      </w:r>
    </w:p>
    <w:p w:rsidR="004A1CFE" w:rsidRPr="005C1D16" w:rsidRDefault="002E5AB2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Konstrukce pro </w:t>
      </w:r>
      <w:r w:rsidR="005C736C" w:rsidRPr="005C1D16">
        <w:rPr>
          <w:rFonts w:ascii="Palatino Linotype" w:hAnsi="Palatino Linotype"/>
        </w:rPr>
        <w:t xml:space="preserve">slavnostní osvětlení </w:t>
      </w:r>
      <w:r w:rsidRPr="005C1D16">
        <w:rPr>
          <w:rFonts w:ascii="Palatino Linotype" w:hAnsi="Palatino Linotype"/>
        </w:rPr>
        <w:t>– žárově zinkované, nerezový spojovací materiál</w:t>
      </w:r>
    </w:p>
    <w:p w:rsidR="00441CD9" w:rsidRPr="005C1D16" w:rsidRDefault="00441CD9" w:rsidP="005C1D16">
      <w:pPr>
        <w:numPr>
          <w:ilvl w:val="0"/>
          <w:numId w:val="1"/>
        </w:numPr>
        <w:spacing w:after="120"/>
        <w:jc w:val="both"/>
        <w:rPr>
          <w:rFonts w:ascii="Palatino Linotype" w:hAnsi="Palatino Linotype"/>
          <w:b/>
          <w:caps/>
        </w:rPr>
      </w:pPr>
      <w:r w:rsidRPr="005C1D16">
        <w:rPr>
          <w:rFonts w:ascii="Palatino Linotype" w:hAnsi="Palatino Linotype"/>
          <w:b/>
          <w:caps/>
        </w:rPr>
        <w:t xml:space="preserve">Zapínací </w:t>
      </w:r>
      <w:r w:rsidR="00FB450A" w:rsidRPr="005C1D16">
        <w:rPr>
          <w:rFonts w:ascii="Palatino Linotype" w:hAnsi="Palatino Linotype"/>
          <w:b/>
          <w:caps/>
        </w:rPr>
        <w:t>místa:</w:t>
      </w:r>
    </w:p>
    <w:p w:rsidR="00FB450A" w:rsidRPr="005C1D16" w:rsidRDefault="00FB450A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Skříně rozvaděčů zapínacích míst z pozinkovaného plechu,</w:t>
      </w:r>
      <w:r w:rsidR="000A3B5E" w:rsidRPr="005C1D16">
        <w:rPr>
          <w:rFonts w:ascii="Palatino Linotype" w:hAnsi="Palatino Linotype"/>
        </w:rPr>
        <w:t xml:space="preserve"> </w:t>
      </w:r>
      <w:r w:rsidRPr="005C1D16">
        <w:rPr>
          <w:rFonts w:ascii="Palatino Linotype" w:hAnsi="Palatino Linotype"/>
        </w:rPr>
        <w:t>plastu nebo nerezového plechu</w:t>
      </w:r>
    </w:p>
    <w:p w:rsidR="00B86850" w:rsidRPr="005C1D16" w:rsidRDefault="00B86850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Z</w:t>
      </w:r>
      <w:r w:rsidR="005D6DC9">
        <w:rPr>
          <w:rFonts w:ascii="Palatino Linotype" w:hAnsi="Palatino Linotype"/>
        </w:rPr>
        <w:t>apínací místa</w:t>
      </w:r>
      <w:r w:rsidRPr="005C1D16">
        <w:rPr>
          <w:rFonts w:ascii="Palatino Linotype" w:hAnsi="Palatino Linotype"/>
        </w:rPr>
        <w:t xml:space="preserve"> budou vybavena programovatelným spínacím prvkem</w:t>
      </w:r>
    </w:p>
    <w:p w:rsidR="006B61EB" w:rsidRPr="005C1D16" w:rsidRDefault="006B61EB" w:rsidP="005C1D16">
      <w:pPr>
        <w:spacing w:after="120"/>
        <w:ind w:left="708" w:firstLine="708"/>
        <w:jc w:val="both"/>
        <w:rPr>
          <w:rFonts w:ascii="Palatino Linotype" w:hAnsi="Palatino Linotype"/>
        </w:rPr>
      </w:pPr>
    </w:p>
    <w:p w:rsidR="00B86850" w:rsidRPr="005C1D16" w:rsidRDefault="00B86850" w:rsidP="005C1D16">
      <w:pPr>
        <w:numPr>
          <w:ilvl w:val="0"/>
          <w:numId w:val="1"/>
        </w:numPr>
        <w:spacing w:after="120"/>
        <w:jc w:val="both"/>
        <w:rPr>
          <w:rFonts w:ascii="Palatino Linotype" w:hAnsi="Palatino Linotype"/>
          <w:b/>
          <w:caps/>
        </w:rPr>
      </w:pPr>
      <w:r w:rsidRPr="005C1D16">
        <w:rPr>
          <w:rFonts w:ascii="Palatino Linotype" w:hAnsi="Palatino Linotype"/>
          <w:b/>
          <w:caps/>
        </w:rPr>
        <w:t>Kabely:</w:t>
      </w:r>
    </w:p>
    <w:p w:rsidR="004A1CFE" w:rsidRPr="005C1D16" w:rsidRDefault="004A1CFE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Materiál vodiče - </w:t>
      </w:r>
      <w:proofErr w:type="spellStart"/>
      <w:r w:rsidRPr="005C1D16">
        <w:rPr>
          <w:rFonts w:ascii="Palatino Linotype" w:hAnsi="Palatino Linotype"/>
        </w:rPr>
        <w:t>Cu</w:t>
      </w:r>
      <w:proofErr w:type="spellEnd"/>
    </w:p>
    <w:p w:rsidR="005C736C" w:rsidRPr="005C1D16" w:rsidRDefault="005C736C" w:rsidP="005C1D16">
      <w:pPr>
        <w:spacing w:after="120"/>
        <w:jc w:val="both"/>
        <w:rPr>
          <w:rFonts w:ascii="Palatino Linotype" w:hAnsi="Palatino Linotype"/>
        </w:rPr>
      </w:pPr>
    </w:p>
    <w:p w:rsidR="00640CFB" w:rsidRPr="005C1D16" w:rsidRDefault="004A1CFE" w:rsidP="005C1D16">
      <w:pPr>
        <w:numPr>
          <w:ilvl w:val="0"/>
          <w:numId w:val="1"/>
        </w:numPr>
        <w:spacing w:after="120"/>
        <w:jc w:val="both"/>
        <w:rPr>
          <w:rFonts w:ascii="Palatino Linotype" w:hAnsi="Palatino Linotype"/>
          <w:b/>
          <w:caps/>
        </w:rPr>
      </w:pPr>
      <w:r w:rsidRPr="005C1D16">
        <w:rPr>
          <w:rFonts w:ascii="Palatino Linotype" w:hAnsi="Palatino Linotype"/>
          <w:b/>
          <w:caps/>
        </w:rPr>
        <w:t>Reflektory</w:t>
      </w:r>
      <w:r w:rsidR="00640CFB" w:rsidRPr="005C1D16">
        <w:rPr>
          <w:rFonts w:ascii="Palatino Linotype" w:hAnsi="Palatino Linotype"/>
          <w:b/>
          <w:caps/>
        </w:rPr>
        <w:t>:</w:t>
      </w:r>
    </w:p>
    <w:p w:rsidR="00B86F4C" w:rsidRPr="005C1D16" w:rsidRDefault="00B86F4C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Těleso svítidla </w:t>
      </w:r>
      <w:proofErr w:type="gramStart"/>
      <w:r w:rsidRPr="005C1D16">
        <w:rPr>
          <w:rFonts w:ascii="Palatino Linotype" w:hAnsi="Palatino Linotype"/>
        </w:rPr>
        <w:t>ze</w:t>
      </w:r>
      <w:proofErr w:type="gramEnd"/>
      <w:r w:rsidRPr="005C1D16">
        <w:rPr>
          <w:rFonts w:ascii="Palatino Linotype" w:hAnsi="Palatino Linotype"/>
        </w:rPr>
        <w:t xml:space="preserve"> 100% recyklovatelného materiálu </w:t>
      </w:r>
    </w:p>
    <w:p w:rsidR="00B86F4C" w:rsidRPr="005C1D16" w:rsidRDefault="00B86F4C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>Minimální účinnost světelných zdrojů</w:t>
      </w:r>
    </w:p>
    <w:tbl>
      <w:tblPr>
        <w:tblW w:w="5180" w:type="dxa"/>
        <w:tblInd w:w="1913" w:type="dxa"/>
        <w:tblCellMar>
          <w:left w:w="70" w:type="dxa"/>
          <w:right w:w="70" w:type="dxa"/>
        </w:tblCellMar>
        <w:tblLook w:val="04A0"/>
      </w:tblPr>
      <w:tblGrid>
        <w:gridCol w:w="2960"/>
        <w:gridCol w:w="2220"/>
      </w:tblGrid>
      <w:tr w:rsidR="00B86F4C" w:rsidRPr="009E37E1" w:rsidTr="00D40E35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/>
                <w:color w:val="000000"/>
                <w:sz w:val="22"/>
                <w:szCs w:val="22"/>
              </w:rPr>
              <w:t>Nominální výkon zdroje (W)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/>
                <w:color w:val="000000"/>
                <w:sz w:val="22"/>
                <w:szCs w:val="22"/>
              </w:rPr>
              <w:t>Jmenovitá účinnost zdroje (</w:t>
            </w:r>
            <w:proofErr w:type="spellStart"/>
            <w:r w:rsidRPr="005C1D16">
              <w:rPr>
                <w:rFonts w:ascii="Palatino Linotype" w:hAnsi="Palatino Linotype"/>
                <w:color w:val="000000"/>
                <w:sz w:val="22"/>
                <w:szCs w:val="22"/>
              </w:rPr>
              <w:t>lm</w:t>
            </w:r>
            <w:proofErr w:type="spellEnd"/>
            <w:r w:rsidRPr="005C1D16">
              <w:rPr>
                <w:rFonts w:ascii="Palatino Linotype" w:hAnsi="Palatino Linotype"/>
                <w:color w:val="000000"/>
                <w:sz w:val="22"/>
                <w:szCs w:val="22"/>
              </w:rPr>
              <w:t>/W)</w:t>
            </w:r>
          </w:p>
        </w:tc>
      </w:tr>
      <w:tr w:rsidR="00B86F4C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≤ 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70</w:t>
            </w:r>
          </w:p>
        </w:tc>
      </w:tr>
      <w:tr w:rsidR="00B86F4C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50, ≥ 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80</w:t>
            </w:r>
          </w:p>
        </w:tc>
      </w:tr>
      <w:tr w:rsidR="00B86F4C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75, ≥ 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85</w:t>
            </w:r>
          </w:p>
        </w:tc>
      </w:tr>
      <w:tr w:rsidR="00B86F4C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105, ≥ 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85</w:t>
            </w:r>
          </w:p>
        </w:tc>
      </w:tr>
      <w:tr w:rsidR="00B86F4C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155, ≥ 255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85</w:t>
            </w:r>
          </w:p>
        </w:tc>
      </w:tr>
      <w:tr w:rsidR="00B86F4C" w:rsidRPr="009E37E1" w:rsidTr="00D40E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</w:t>
            </w:r>
            <w:r w:rsidRPr="009E37E1">
              <w:rPr>
                <w:rFonts w:asciiTheme="minorHAnsi" w:hAnsiTheme="minorHAnsi" w:cs="Arial"/>
                <w:color w:val="000000"/>
                <w:sz w:val="22"/>
                <w:szCs w:val="22"/>
              </w:rPr>
              <w:t>˂</w:t>
            </w: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255, ≥ 605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4C" w:rsidRPr="005C1D16" w:rsidRDefault="00B86F4C" w:rsidP="005C1D16">
            <w:pPr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5C1D16">
              <w:rPr>
                <w:rFonts w:ascii="Palatino Linotype" w:hAnsi="Palatino Linotype" w:cs="Arial"/>
                <w:color w:val="000000"/>
                <w:sz w:val="22"/>
                <w:szCs w:val="22"/>
              </w:rPr>
              <w:t>≥ 90</w:t>
            </w:r>
          </w:p>
        </w:tc>
      </w:tr>
    </w:tbl>
    <w:p w:rsidR="00B86F4C" w:rsidRPr="005C1D16" w:rsidRDefault="00B86F4C" w:rsidP="005C1D16">
      <w:pPr>
        <w:jc w:val="both"/>
        <w:rPr>
          <w:rFonts w:ascii="Palatino Linotype" w:hAnsi="Palatino Linotype"/>
        </w:rPr>
      </w:pPr>
    </w:p>
    <w:p w:rsidR="00DE0DB8" w:rsidRPr="005C1D16" w:rsidRDefault="00DE0DB8" w:rsidP="005C1D16">
      <w:pPr>
        <w:pStyle w:val="Odstavecseseznamem"/>
        <w:numPr>
          <w:ilvl w:val="0"/>
          <w:numId w:val="1"/>
        </w:numPr>
        <w:spacing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5C1D16">
        <w:rPr>
          <w:rFonts w:ascii="Palatino Linotype" w:hAnsi="Palatino Linotype" w:cs="Arial"/>
          <w:b/>
          <w:caps/>
        </w:rPr>
        <w:t>Nátěry stožárů</w:t>
      </w:r>
      <w:r w:rsidRPr="005C1D16">
        <w:rPr>
          <w:rFonts w:ascii="Palatino Linotype" w:hAnsi="Palatino Linotype" w:cs="Arial"/>
          <w:b/>
          <w:sz w:val="20"/>
          <w:szCs w:val="20"/>
        </w:rPr>
        <w:t xml:space="preserve"> </w:t>
      </w:r>
    </w:p>
    <w:p w:rsidR="005C736C" w:rsidRPr="005C1D16" w:rsidRDefault="00DE0DB8" w:rsidP="005C1D16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Palatino Linotype" w:hAnsi="Palatino Linotype"/>
        </w:rPr>
      </w:pPr>
      <w:r w:rsidRPr="005C1D16">
        <w:rPr>
          <w:rFonts w:ascii="Palatino Linotype" w:hAnsi="Palatino Linotype"/>
        </w:rPr>
        <w:t xml:space="preserve">nátěrový systém </w:t>
      </w:r>
      <w:r w:rsidR="00AB787B" w:rsidRPr="005C1D16">
        <w:rPr>
          <w:rFonts w:ascii="Palatino Linotype" w:hAnsi="Palatino Linotype"/>
        </w:rPr>
        <w:t xml:space="preserve">na bázi plastů, </w:t>
      </w:r>
      <w:proofErr w:type="spellStart"/>
      <w:r w:rsidR="00AB787B" w:rsidRPr="005C1D16">
        <w:rPr>
          <w:rFonts w:ascii="Palatino Linotype" w:hAnsi="Palatino Linotype"/>
        </w:rPr>
        <w:t>kompozitů</w:t>
      </w:r>
      <w:proofErr w:type="spellEnd"/>
      <w:r w:rsidR="00AB787B" w:rsidRPr="005C1D16">
        <w:rPr>
          <w:rFonts w:ascii="Palatino Linotype" w:hAnsi="Palatino Linotype"/>
        </w:rPr>
        <w:t xml:space="preserve"> a kovů s příměsí min. 20% hliníku, základní nátěr – hydroizolační základová barva s příměsí antikorozních přísad</w:t>
      </w:r>
    </w:p>
    <w:sectPr w:rsidR="005C736C" w:rsidRPr="005C1D16" w:rsidSect="00B94C90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D5ECAF" w15:done="0"/>
  <w15:commentEx w15:paraId="1BE5C00E" w15:done="0"/>
  <w15:commentEx w15:paraId="5805A1B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B3" w:rsidRDefault="008403B3" w:rsidP="004A1CFE">
      <w:r>
        <w:separator/>
      </w:r>
    </w:p>
  </w:endnote>
  <w:endnote w:type="continuationSeparator" w:id="0">
    <w:p w:rsidR="008403B3" w:rsidRDefault="008403B3" w:rsidP="004A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B3" w:rsidRDefault="008403B3" w:rsidP="004A1CFE">
      <w:r>
        <w:separator/>
      </w:r>
    </w:p>
  </w:footnote>
  <w:footnote w:type="continuationSeparator" w:id="0">
    <w:p w:rsidR="008403B3" w:rsidRDefault="008403B3" w:rsidP="004A1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0876">
    <w:pPr>
      <w:spacing w:before="120"/>
      <w:jc w:val="both"/>
      <w:rPr>
        <w:rFonts w:ascii="Palatino Linotype" w:hAnsi="Palatino Linotype"/>
      </w:rPr>
    </w:pPr>
    <w:r w:rsidRPr="00F00DA1">
      <w:rPr>
        <w:rFonts w:ascii="Palatino Linotype" w:hAnsi="Palatino Linotype"/>
      </w:rPr>
      <w:t>Příloha č. 1</w:t>
    </w:r>
    <w:r>
      <w:rPr>
        <w:rFonts w:ascii="Palatino Linotype" w:hAnsi="Palatino Linotype"/>
      </w:rPr>
      <w:t>1</w:t>
    </w:r>
    <w:r w:rsidRPr="00F00DA1">
      <w:rPr>
        <w:rFonts w:ascii="Palatino Linotype" w:hAnsi="Palatino Linotype"/>
      </w:rPr>
      <w:t xml:space="preserve">: </w:t>
    </w:r>
    <w:r>
      <w:rPr>
        <w:rFonts w:ascii="Palatino Linotype" w:hAnsi="Palatino Linotype"/>
      </w:rPr>
      <w:t>Minimální technické požadavky na materiál použitý pro servis a obnovu zařízení</w:t>
    </w:r>
  </w:p>
  <w:p w:rsidR="008B763B" w:rsidRDefault="008B763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014"/>
    <w:multiLevelType w:val="hybridMultilevel"/>
    <w:tmpl w:val="EC865D5E"/>
    <w:lvl w:ilvl="0" w:tplc="8C948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20C0B"/>
    <w:multiLevelType w:val="hybridMultilevel"/>
    <w:tmpl w:val="5D18ECD0"/>
    <w:lvl w:ilvl="0" w:tplc="8C948AD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C948A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8A0D21"/>
    <w:multiLevelType w:val="hybridMultilevel"/>
    <w:tmpl w:val="0B6212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E72A122">
      <w:start w:val="1"/>
      <w:numFmt w:val="bullet"/>
      <w:lvlText w:val="•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0834D5"/>
    <w:multiLevelType w:val="hybridMultilevel"/>
    <w:tmpl w:val="42C03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1EEF"/>
    <w:multiLevelType w:val="hybridMultilevel"/>
    <w:tmpl w:val="FBEC4A0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354A21"/>
    <w:multiLevelType w:val="hybridMultilevel"/>
    <w:tmpl w:val="377E43B8"/>
    <w:lvl w:ilvl="0" w:tplc="0405000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1" w:tplc="6ADC06B4">
      <w:numFmt w:val="bullet"/>
      <w:lvlText w:val="-"/>
      <w:lvlJc w:val="left"/>
      <w:pPr>
        <w:ind w:left="1889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609" w:hanging="180"/>
      </w:pPr>
    </w:lvl>
    <w:lvl w:ilvl="3" w:tplc="0405000F" w:tentative="1">
      <w:start w:val="1"/>
      <w:numFmt w:val="decimal"/>
      <w:lvlText w:val="%4."/>
      <w:lvlJc w:val="left"/>
      <w:pPr>
        <w:ind w:left="3329" w:hanging="360"/>
      </w:pPr>
    </w:lvl>
    <w:lvl w:ilvl="4" w:tplc="04050019" w:tentative="1">
      <w:start w:val="1"/>
      <w:numFmt w:val="lowerLetter"/>
      <w:lvlText w:val="%5."/>
      <w:lvlJc w:val="left"/>
      <w:pPr>
        <w:ind w:left="4049" w:hanging="360"/>
      </w:pPr>
    </w:lvl>
    <w:lvl w:ilvl="5" w:tplc="0405001B" w:tentative="1">
      <w:start w:val="1"/>
      <w:numFmt w:val="lowerRoman"/>
      <w:lvlText w:val="%6."/>
      <w:lvlJc w:val="right"/>
      <w:pPr>
        <w:ind w:left="4769" w:hanging="180"/>
      </w:pPr>
    </w:lvl>
    <w:lvl w:ilvl="6" w:tplc="0405000F" w:tentative="1">
      <w:start w:val="1"/>
      <w:numFmt w:val="decimal"/>
      <w:lvlText w:val="%7."/>
      <w:lvlJc w:val="left"/>
      <w:pPr>
        <w:ind w:left="5489" w:hanging="360"/>
      </w:pPr>
    </w:lvl>
    <w:lvl w:ilvl="7" w:tplc="04050019" w:tentative="1">
      <w:start w:val="1"/>
      <w:numFmt w:val="lowerLetter"/>
      <w:lvlText w:val="%8."/>
      <w:lvlJc w:val="left"/>
      <w:pPr>
        <w:ind w:left="6209" w:hanging="360"/>
      </w:pPr>
    </w:lvl>
    <w:lvl w:ilvl="8" w:tplc="040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302A7485"/>
    <w:multiLevelType w:val="hybridMultilevel"/>
    <w:tmpl w:val="42C03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47CC1"/>
    <w:multiLevelType w:val="hybridMultilevel"/>
    <w:tmpl w:val="7586EF6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90A5763"/>
    <w:multiLevelType w:val="hybridMultilevel"/>
    <w:tmpl w:val="6AD62E1A"/>
    <w:lvl w:ilvl="0" w:tplc="8C948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92F83"/>
    <w:multiLevelType w:val="hybridMultilevel"/>
    <w:tmpl w:val="EDC2E5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4B617A"/>
    <w:multiLevelType w:val="hybridMultilevel"/>
    <w:tmpl w:val="8C24DAF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>
    <w:nsid w:val="55932C60"/>
    <w:multiLevelType w:val="hybridMultilevel"/>
    <w:tmpl w:val="4BF44742"/>
    <w:lvl w:ilvl="0" w:tplc="8C948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B0EF2"/>
    <w:multiLevelType w:val="hybridMultilevel"/>
    <w:tmpl w:val="2B44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D2543"/>
    <w:multiLevelType w:val="hybridMultilevel"/>
    <w:tmpl w:val="52DAD5C4"/>
    <w:lvl w:ilvl="0" w:tplc="0A3C0324">
      <w:start w:val="1"/>
      <w:numFmt w:val="upperLetter"/>
      <w:pStyle w:val="Nadpis1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71B32B4E"/>
    <w:multiLevelType w:val="hybridMultilevel"/>
    <w:tmpl w:val="5900DF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D42C8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D500DA"/>
    <w:multiLevelType w:val="hybridMultilevel"/>
    <w:tmpl w:val="CDEC6E6A"/>
    <w:lvl w:ilvl="0" w:tplc="DE6A1B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C3EE5"/>
    <w:multiLevelType w:val="hybridMultilevel"/>
    <w:tmpl w:val="53D6A02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7BCF0C75"/>
    <w:multiLevelType w:val="hybridMultilevel"/>
    <w:tmpl w:val="0F2EBE36"/>
    <w:lvl w:ilvl="0" w:tplc="8C948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53548"/>
    <w:multiLevelType w:val="hybridMultilevel"/>
    <w:tmpl w:val="8D60054A"/>
    <w:lvl w:ilvl="0" w:tplc="33BAF5C4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437B3"/>
    <w:multiLevelType w:val="hybridMultilevel"/>
    <w:tmpl w:val="29B69D2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FDF7076"/>
    <w:multiLevelType w:val="hybridMultilevel"/>
    <w:tmpl w:val="761460D2"/>
    <w:lvl w:ilvl="0" w:tplc="37FC2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16"/>
  </w:num>
  <w:num w:numId="6">
    <w:abstractNumId w:val="18"/>
  </w:num>
  <w:num w:numId="7">
    <w:abstractNumId w:val="15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19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0"/>
  </w:num>
  <w:num w:numId="19">
    <w:abstractNumId w:val="1"/>
  </w:num>
  <w:num w:numId="20">
    <w:abstractNumId w:val="8"/>
  </w:num>
  <w:num w:numId="21">
    <w:abstractNumId w:val="11"/>
  </w:num>
  <w:num w:numId="22">
    <w:abstractNumId w:val="17"/>
  </w:num>
  <w:num w:numId="23">
    <w:abstractNumId w:val="20"/>
  </w:num>
  <w:num w:numId="24">
    <w:abstractNumId w:val="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20321"/>
    <w:rsid w:val="00001068"/>
    <w:rsid w:val="00006EF2"/>
    <w:rsid w:val="000118F3"/>
    <w:rsid w:val="0002190F"/>
    <w:rsid w:val="00032707"/>
    <w:rsid w:val="00046887"/>
    <w:rsid w:val="00056041"/>
    <w:rsid w:val="000976B2"/>
    <w:rsid w:val="000A3B5E"/>
    <w:rsid w:val="000A7661"/>
    <w:rsid w:val="000E5932"/>
    <w:rsid w:val="000F060F"/>
    <w:rsid w:val="001009B5"/>
    <w:rsid w:val="00103598"/>
    <w:rsid w:val="00107B6E"/>
    <w:rsid w:val="00125816"/>
    <w:rsid w:val="00142E35"/>
    <w:rsid w:val="0017151D"/>
    <w:rsid w:val="00173A52"/>
    <w:rsid w:val="00180E69"/>
    <w:rsid w:val="001915E3"/>
    <w:rsid w:val="001A5095"/>
    <w:rsid w:val="001A71EE"/>
    <w:rsid w:val="001C670F"/>
    <w:rsid w:val="001E4E29"/>
    <w:rsid w:val="001F5D01"/>
    <w:rsid w:val="00211953"/>
    <w:rsid w:val="00216D69"/>
    <w:rsid w:val="0022492A"/>
    <w:rsid w:val="00281DE8"/>
    <w:rsid w:val="00293C83"/>
    <w:rsid w:val="002A1E26"/>
    <w:rsid w:val="002A698F"/>
    <w:rsid w:val="002D2E62"/>
    <w:rsid w:val="002E277B"/>
    <w:rsid w:val="002E5AB2"/>
    <w:rsid w:val="002F30AC"/>
    <w:rsid w:val="0031470A"/>
    <w:rsid w:val="003148A8"/>
    <w:rsid w:val="00316DB1"/>
    <w:rsid w:val="00345693"/>
    <w:rsid w:val="00396C36"/>
    <w:rsid w:val="003E6322"/>
    <w:rsid w:val="00441CD9"/>
    <w:rsid w:val="004444DA"/>
    <w:rsid w:val="00460727"/>
    <w:rsid w:val="00482E6C"/>
    <w:rsid w:val="00490BA4"/>
    <w:rsid w:val="00491CC0"/>
    <w:rsid w:val="004A1CFE"/>
    <w:rsid w:val="004A645B"/>
    <w:rsid w:val="004B4C64"/>
    <w:rsid w:val="004E7E82"/>
    <w:rsid w:val="00512898"/>
    <w:rsid w:val="0052742E"/>
    <w:rsid w:val="00551FB9"/>
    <w:rsid w:val="005717B0"/>
    <w:rsid w:val="0057426B"/>
    <w:rsid w:val="005803AD"/>
    <w:rsid w:val="005834A4"/>
    <w:rsid w:val="0059083E"/>
    <w:rsid w:val="005A1DB7"/>
    <w:rsid w:val="005B4DFB"/>
    <w:rsid w:val="005B65ED"/>
    <w:rsid w:val="005C1D16"/>
    <w:rsid w:val="005C736C"/>
    <w:rsid w:val="005C74F0"/>
    <w:rsid w:val="005D6DC9"/>
    <w:rsid w:val="005E0317"/>
    <w:rsid w:val="00611FB7"/>
    <w:rsid w:val="00630594"/>
    <w:rsid w:val="00640CFB"/>
    <w:rsid w:val="00643195"/>
    <w:rsid w:val="006565DF"/>
    <w:rsid w:val="00685C8B"/>
    <w:rsid w:val="006B61EB"/>
    <w:rsid w:val="006C4316"/>
    <w:rsid w:val="006E6A7C"/>
    <w:rsid w:val="006F252B"/>
    <w:rsid w:val="006F5A97"/>
    <w:rsid w:val="007027B4"/>
    <w:rsid w:val="00717A0E"/>
    <w:rsid w:val="00730D14"/>
    <w:rsid w:val="0073295E"/>
    <w:rsid w:val="00737014"/>
    <w:rsid w:val="00756379"/>
    <w:rsid w:val="0076210A"/>
    <w:rsid w:val="00786051"/>
    <w:rsid w:val="007B0474"/>
    <w:rsid w:val="007B541E"/>
    <w:rsid w:val="00817D7F"/>
    <w:rsid w:val="008264E9"/>
    <w:rsid w:val="008403B3"/>
    <w:rsid w:val="00840876"/>
    <w:rsid w:val="00855DF2"/>
    <w:rsid w:val="0085798B"/>
    <w:rsid w:val="0087389A"/>
    <w:rsid w:val="00885EA4"/>
    <w:rsid w:val="008A3CF0"/>
    <w:rsid w:val="008A647E"/>
    <w:rsid w:val="008B763B"/>
    <w:rsid w:val="008E3FF5"/>
    <w:rsid w:val="008F2366"/>
    <w:rsid w:val="00903A1B"/>
    <w:rsid w:val="00915316"/>
    <w:rsid w:val="009237E6"/>
    <w:rsid w:val="00923DD8"/>
    <w:rsid w:val="00940386"/>
    <w:rsid w:val="009D2AA2"/>
    <w:rsid w:val="009E37E1"/>
    <w:rsid w:val="009F37C2"/>
    <w:rsid w:val="009F4965"/>
    <w:rsid w:val="009F5743"/>
    <w:rsid w:val="00A7059B"/>
    <w:rsid w:val="00A72769"/>
    <w:rsid w:val="00A843E6"/>
    <w:rsid w:val="00AB787B"/>
    <w:rsid w:val="00AB7EA5"/>
    <w:rsid w:val="00AC7A90"/>
    <w:rsid w:val="00AF1DEE"/>
    <w:rsid w:val="00AF2326"/>
    <w:rsid w:val="00AF4654"/>
    <w:rsid w:val="00B071EC"/>
    <w:rsid w:val="00B43259"/>
    <w:rsid w:val="00B45CDF"/>
    <w:rsid w:val="00B50BF9"/>
    <w:rsid w:val="00B526D2"/>
    <w:rsid w:val="00B573C5"/>
    <w:rsid w:val="00B62CD4"/>
    <w:rsid w:val="00B86850"/>
    <w:rsid w:val="00B86F4C"/>
    <w:rsid w:val="00B94B84"/>
    <w:rsid w:val="00B94C90"/>
    <w:rsid w:val="00B96DD2"/>
    <w:rsid w:val="00BA3F3D"/>
    <w:rsid w:val="00BA6A04"/>
    <w:rsid w:val="00BC51D3"/>
    <w:rsid w:val="00BC658B"/>
    <w:rsid w:val="00BE0FEE"/>
    <w:rsid w:val="00C00297"/>
    <w:rsid w:val="00C15FA9"/>
    <w:rsid w:val="00C22638"/>
    <w:rsid w:val="00C27F3A"/>
    <w:rsid w:val="00C7415F"/>
    <w:rsid w:val="00CA1FB2"/>
    <w:rsid w:val="00CA25B9"/>
    <w:rsid w:val="00CC5E37"/>
    <w:rsid w:val="00CC7A1E"/>
    <w:rsid w:val="00CD4206"/>
    <w:rsid w:val="00CE7CF4"/>
    <w:rsid w:val="00D20321"/>
    <w:rsid w:val="00D26DF2"/>
    <w:rsid w:val="00D31482"/>
    <w:rsid w:val="00D31ED5"/>
    <w:rsid w:val="00D32D51"/>
    <w:rsid w:val="00D37DC4"/>
    <w:rsid w:val="00D40E35"/>
    <w:rsid w:val="00D61420"/>
    <w:rsid w:val="00D70F3E"/>
    <w:rsid w:val="00D85F61"/>
    <w:rsid w:val="00D86BFD"/>
    <w:rsid w:val="00DA322A"/>
    <w:rsid w:val="00DA55BB"/>
    <w:rsid w:val="00DE0DB8"/>
    <w:rsid w:val="00E06D38"/>
    <w:rsid w:val="00E16A69"/>
    <w:rsid w:val="00E22054"/>
    <w:rsid w:val="00E40048"/>
    <w:rsid w:val="00E65ED2"/>
    <w:rsid w:val="00E674E5"/>
    <w:rsid w:val="00E71A7A"/>
    <w:rsid w:val="00E77372"/>
    <w:rsid w:val="00E93168"/>
    <w:rsid w:val="00EA65BC"/>
    <w:rsid w:val="00EC595A"/>
    <w:rsid w:val="00EC6DF7"/>
    <w:rsid w:val="00EE276C"/>
    <w:rsid w:val="00EF45DA"/>
    <w:rsid w:val="00F07576"/>
    <w:rsid w:val="00F14179"/>
    <w:rsid w:val="00F17837"/>
    <w:rsid w:val="00F22697"/>
    <w:rsid w:val="00F47D07"/>
    <w:rsid w:val="00F542F1"/>
    <w:rsid w:val="00F54B91"/>
    <w:rsid w:val="00F84529"/>
    <w:rsid w:val="00F90240"/>
    <w:rsid w:val="00F92174"/>
    <w:rsid w:val="00FB450A"/>
    <w:rsid w:val="00FB49DC"/>
    <w:rsid w:val="00FC0D5F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837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4A1CFE"/>
    <w:pPr>
      <w:keepNext/>
      <w:numPr>
        <w:numId w:val="3"/>
      </w:numPr>
      <w:tabs>
        <w:tab w:val="left" w:pos="624"/>
      </w:tabs>
      <w:jc w:val="both"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1C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CF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A1C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CF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1CF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A1CFE"/>
    <w:rPr>
      <w:b/>
      <w:bCs/>
      <w:sz w:val="24"/>
    </w:rPr>
  </w:style>
  <w:style w:type="character" w:styleId="Odkaznakoment">
    <w:name w:val="annotation reference"/>
    <w:basedOn w:val="Standardnpsmoodstavce"/>
    <w:rsid w:val="004A1C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1C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1CFE"/>
  </w:style>
  <w:style w:type="paragraph" w:styleId="Pedmtkomente">
    <w:name w:val="annotation subject"/>
    <w:basedOn w:val="Textkomente"/>
    <w:next w:val="Textkomente"/>
    <w:link w:val="PedmtkomenteChar"/>
    <w:rsid w:val="004A1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1CFE"/>
    <w:rPr>
      <w:b/>
      <w:bCs/>
    </w:rPr>
  </w:style>
  <w:style w:type="paragraph" w:styleId="Textbubliny">
    <w:name w:val="Balloon Text"/>
    <w:basedOn w:val="Normln"/>
    <w:link w:val="TextbublinyChar"/>
    <w:rsid w:val="004A1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1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837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4A1CFE"/>
    <w:pPr>
      <w:keepNext/>
      <w:numPr>
        <w:numId w:val="3"/>
      </w:numPr>
      <w:tabs>
        <w:tab w:val="left" w:pos="624"/>
      </w:tabs>
      <w:jc w:val="both"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1C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CF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A1C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CF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1CF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A1CFE"/>
    <w:rPr>
      <w:b/>
      <w:bCs/>
      <w:sz w:val="24"/>
    </w:rPr>
  </w:style>
  <w:style w:type="character" w:styleId="Odkaznakoment">
    <w:name w:val="annotation reference"/>
    <w:basedOn w:val="Standardnpsmoodstavce"/>
    <w:rsid w:val="004A1C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1C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1CFE"/>
  </w:style>
  <w:style w:type="paragraph" w:styleId="Pedmtkomente">
    <w:name w:val="annotation subject"/>
    <w:basedOn w:val="Textkomente"/>
    <w:next w:val="Textkomente"/>
    <w:link w:val="PedmtkomenteChar"/>
    <w:rsid w:val="004A1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1CFE"/>
    <w:rPr>
      <w:b/>
      <w:bCs/>
    </w:rPr>
  </w:style>
  <w:style w:type="paragraph" w:styleId="Textbubliny">
    <w:name w:val="Balloon Text"/>
    <w:basedOn w:val="Normln"/>
    <w:link w:val="TextbublinyChar"/>
    <w:rsid w:val="004A1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1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2015-10-29T14:24:00Z</dcterms:created>
  <dcterms:modified xsi:type="dcterms:W3CDTF">2015-10-29T14:24:00Z</dcterms:modified>
</cp:coreProperties>
</file>