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DE" w:rsidRDefault="00BF6CDE" w:rsidP="00BF6CDE">
      <w:pPr>
        <w:jc w:val="both"/>
        <w:rPr>
          <w:rFonts w:cs="Arial"/>
          <w:b/>
          <w:bCs/>
          <w:color w:val="000000"/>
          <w:szCs w:val="22"/>
        </w:rPr>
      </w:pPr>
      <w:r w:rsidRPr="00293A4E">
        <w:rPr>
          <w:rFonts w:cs="Arial"/>
          <w:b/>
          <w:bCs/>
          <w:color w:val="000000"/>
          <w:szCs w:val="22"/>
          <w:u w:val="single"/>
        </w:rPr>
        <w:t>Členění stavby na části a etapy</w:t>
      </w:r>
      <w:r>
        <w:rPr>
          <w:rFonts w:cs="Arial"/>
          <w:b/>
          <w:bCs/>
          <w:color w:val="000000"/>
          <w:szCs w:val="22"/>
        </w:rPr>
        <w:t>:</w:t>
      </w:r>
    </w:p>
    <w:p w:rsidR="00BF6CDE" w:rsidRDefault="00BF6CDE" w:rsidP="00BF6CDE">
      <w:pPr>
        <w:jc w:val="both"/>
        <w:rPr>
          <w:rFonts w:cs="Arial"/>
          <w:bCs/>
          <w:color w:val="000000"/>
          <w:szCs w:val="22"/>
        </w:rPr>
      </w:pPr>
    </w:p>
    <w:p w:rsidR="00BF6CDE" w:rsidRDefault="00BF6CDE" w:rsidP="00BF6CDE">
      <w:pPr>
        <w:jc w:val="both"/>
        <w:rPr>
          <w:rFonts w:cs="Arial"/>
          <w:b/>
          <w:bCs/>
          <w:color w:val="000000"/>
          <w:szCs w:val="22"/>
        </w:rPr>
      </w:pPr>
      <w:r w:rsidRPr="00A86ABC">
        <w:rPr>
          <w:rFonts w:cs="Arial"/>
          <w:b/>
          <w:bCs/>
          <w:color w:val="000000"/>
          <w:szCs w:val="22"/>
        </w:rPr>
        <w:t>Dílo je členěno na 2 části:</w:t>
      </w:r>
    </w:p>
    <w:p w:rsidR="00BF6CDE" w:rsidRPr="00B620D6" w:rsidRDefault="00BF6CDE" w:rsidP="00BF6CDE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i/>
        </w:rPr>
      </w:pPr>
      <w:r w:rsidRPr="00B620D6">
        <w:rPr>
          <w:rFonts w:cs="Arial"/>
          <w:i/>
          <w:szCs w:val="22"/>
        </w:rPr>
        <w:t>Rekonstrukce a nástavba školičky</w:t>
      </w:r>
    </w:p>
    <w:p w:rsidR="00BF6CDE" w:rsidRPr="00B620D6" w:rsidRDefault="00BF6CDE" w:rsidP="00BF6CDE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i/>
        </w:rPr>
      </w:pPr>
      <w:r w:rsidRPr="00B620D6">
        <w:rPr>
          <w:rFonts w:cs="Arial"/>
          <w:i/>
          <w:szCs w:val="22"/>
        </w:rPr>
        <w:t>Přístavba a zvýšení kapacity kuchyně a školní jídelny</w:t>
      </w:r>
    </w:p>
    <w:p w:rsidR="00BF6CDE" w:rsidRDefault="00BF6CDE" w:rsidP="00BF6CDE">
      <w:pPr>
        <w:jc w:val="both"/>
        <w:rPr>
          <w:rFonts w:cs="Arial"/>
          <w:bCs/>
          <w:color w:val="000000"/>
          <w:szCs w:val="22"/>
        </w:rPr>
      </w:pPr>
    </w:p>
    <w:p w:rsidR="00BF6CDE" w:rsidRPr="00B620D6" w:rsidRDefault="00BF6CDE" w:rsidP="00BF6CDE">
      <w:pPr>
        <w:jc w:val="both"/>
        <w:rPr>
          <w:rFonts w:cs="Arial"/>
          <w:bCs/>
          <w:color w:val="000000"/>
          <w:szCs w:val="22"/>
        </w:rPr>
      </w:pPr>
      <w:r w:rsidRPr="00B620D6">
        <w:rPr>
          <w:rFonts w:cs="Arial"/>
          <w:bCs/>
          <w:color w:val="000000"/>
          <w:szCs w:val="22"/>
        </w:rPr>
        <w:t xml:space="preserve">Každá z těchto dvou částí má stanoveny čtyři etapy realizace včetně konečných termínů jednotlivých etap (milníků). </w:t>
      </w:r>
    </w:p>
    <w:p w:rsidR="00BF6CDE" w:rsidRDefault="00BF6CDE" w:rsidP="00BF6CDE">
      <w:pPr>
        <w:jc w:val="both"/>
        <w:rPr>
          <w:rFonts w:cs="Arial"/>
          <w:bCs/>
          <w:color w:val="000000"/>
          <w:szCs w:val="22"/>
          <w:u w:val="single"/>
        </w:rPr>
      </w:pPr>
    </w:p>
    <w:p w:rsidR="00BF6CDE" w:rsidRPr="00B620D6" w:rsidRDefault="00BF6CDE" w:rsidP="00BF6CDE">
      <w:pPr>
        <w:jc w:val="both"/>
        <w:rPr>
          <w:rFonts w:cs="Arial"/>
          <w:bCs/>
          <w:color w:val="000000"/>
          <w:szCs w:val="22"/>
        </w:rPr>
      </w:pPr>
      <w:r w:rsidRPr="00B620D6">
        <w:rPr>
          <w:rFonts w:cs="Arial"/>
          <w:bCs/>
          <w:color w:val="000000"/>
          <w:szCs w:val="22"/>
          <w:u w:val="single"/>
        </w:rPr>
        <w:t>Členění stavby na části a etapy</w:t>
      </w:r>
      <w:r w:rsidRPr="00B620D6">
        <w:rPr>
          <w:rFonts w:cs="Arial"/>
          <w:bCs/>
          <w:color w:val="000000"/>
          <w:szCs w:val="22"/>
        </w:rPr>
        <w:t xml:space="preserve"> obsahuje rozpis prací, které musí být realizovány a dokončeny v jednotlivých etapách. </w:t>
      </w:r>
    </w:p>
    <w:p w:rsidR="00BF6CDE" w:rsidRPr="00EF13D5" w:rsidRDefault="00BF6CDE" w:rsidP="00BF6CDE">
      <w:pPr>
        <w:pStyle w:val="Zkladntext3"/>
        <w:spacing w:after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20D6">
        <w:rPr>
          <w:rFonts w:ascii="Arial" w:hAnsi="Arial" w:cs="Arial"/>
          <w:color w:val="000000"/>
          <w:sz w:val="22"/>
          <w:szCs w:val="22"/>
        </w:rPr>
        <w:t>Milníkem výstavby se rozumí realizace a dokončení prací specifikovaných v jednotlivých etapách pro každou část stavby.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FC3995" w:rsidRDefault="00FC3995" w:rsidP="00BF6CDE">
      <w:pPr>
        <w:spacing w:after="120"/>
        <w:jc w:val="both"/>
        <w:rPr>
          <w:b/>
          <w:sz w:val="21"/>
          <w:szCs w:val="21"/>
        </w:rPr>
      </w:pPr>
    </w:p>
    <w:p w:rsidR="00BF6CDE" w:rsidRPr="00A86ABC" w:rsidRDefault="00BF6CDE" w:rsidP="00BF6CDE">
      <w:pPr>
        <w:spacing w:after="120"/>
        <w:jc w:val="both"/>
        <w:rPr>
          <w:b/>
          <w:sz w:val="21"/>
          <w:szCs w:val="21"/>
        </w:rPr>
      </w:pPr>
      <w:r w:rsidRPr="00A86ABC">
        <w:rPr>
          <w:b/>
          <w:sz w:val="21"/>
          <w:szCs w:val="21"/>
        </w:rPr>
        <w:t>Termíny dílčích etap (m</w:t>
      </w:r>
      <w:r w:rsidR="00052C65" w:rsidRPr="00A86ABC">
        <w:rPr>
          <w:b/>
          <w:sz w:val="21"/>
          <w:szCs w:val="21"/>
        </w:rPr>
        <w:t>i</w:t>
      </w:r>
      <w:r w:rsidRPr="00A86ABC">
        <w:rPr>
          <w:b/>
          <w:sz w:val="21"/>
          <w:szCs w:val="21"/>
        </w:rPr>
        <w:t>lníků):</w:t>
      </w:r>
    </w:p>
    <w:p w:rsidR="00BF6CDE" w:rsidRDefault="00BF6CDE" w:rsidP="00BF6CDE">
      <w:pPr>
        <w:spacing w:after="120"/>
        <w:jc w:val="both"/>
        <w:rPr>
          <w:sz w:val="21"/>
          <w:szCs w:val="21"/>
        </w:rPr>
      </w:pPr>
      <w:r w:rsidRPr="00C372FB">
        <w:rPr>
          <w:szCs w:val="22"/>
          <w:u w:val="single"/>
        </w:rPr>
        <w:t>Rekonstrukce a nástavba školičky</w:t>
      </w:r>
    </w:p>
    <w:tbl>
      <w:tblPr>
        <w:tblStyle w:val="Mkatabulky"/>
        <w:tblW w:w="0" w:type="auto"/>
        <w:tblLook w:val="04A0"/>
      </w:tblPr>
      <w:tblGrid>
        <w:gridCol w:w="1101"/>
        <w:gridCol w:w="1701"/>
        <w:gridCol w:w="6410"/>
      </w:tblGrid>
      <w:tr w:rsidR="00052C65" w:rsidRPr="00FC3995" w:rsidTr="00052C65">
        <w:tc>
          <w:tcPr>
            <w:tcW w:w="1101" w:type="dxa"/>
          </w:tcPr>
          <w:p w:rsidR="00052C65" w:rsidRPr="00FC3995" w:rsidRDefault="00052C65" w:rsidP="00BF6CDE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>Etapa 1.</w:t>
            </w:r>
          </w:p>
        </w:tc>
        <w:tc>
          <w:tcPr>
            <w:tcW w:w="1701" w:type="dxa"/>
          </w:tcPr>
          <w:p w:rsidR="00052C65" w:rsidRPr="00FC3995" w:rsidRDefault="00052C65" w:rsidP="00BF6CDE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 xml:space="preserve">do </w:t>
            </w:r>
            <w:proofErr w:type="gramStart"/>
            <w:r w:rsidRPr="00FC3995">
              <w:rPr>
                <w:sz w:val="20"/>
              </w:rPr>
              <w:t>31.10.2016</w:t>
            </w:r>
            <w:proofErr w:type="gramEnd"/>
          </w:p>
        </w:tc>
        <w:tc>
          <w:tcPr>
            <w:tcW w:w="6410" w:type="dxa"/>
          </w:tcPr>
          <w:p w:rsidR="00052C65" w:rsidRPr="00FC3995" w:rsidRDefault="00052C65" w:rsidP="00BF6CDE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>přípravné práce, zařízení staveniště, ochranné práce a konstrukce, bourací práce včetně  snesení střechy, výkopových prací,  statické zajištění objektu, základové konstrukce včetně přípravy napojení krčku</w:t>
            </w:r>
          </w:p>
        </w:tc>
      </w:tr>
      <w:tr w:rsidR="00052C65" w:rsidRPr="00FC3995" w:rsidTr="00052C65">
        <w:tc>
          <w:tcPr>
            <w:tcW w:w="1101" w:type="dxa"/>
          </w:tcPr>
          <w:p w:rsidR="00052C65" w:rsidRPr="00FC3995" w:rsidRDefault="00052C65" w:rsidP="00BF6CDE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>Etapa 2.</w:t>
            </w:r>
          </w:p>
        </w:tc>
        <w:tc>
          <w:tcPr>
            <w:tcW w:w="1701" w:type="dxa"/>
          </w:tcPr>
          <w:p w:rsidR="00052C65" w:rsidRPr="00FC3995" w:rsidRDefault="00052C65" w:rsidP="00052C65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 xml:space="preserve">do </w:t>
            </w:r>
            <w:proofErr w:type="gramStart"/>
            <w:r w:rsidRPr="00FC3995">
              <w:rPr>
                <w:sz w:val="20"/>
              </w:rPr>
              <w:t>31.12.2016</w:t>
            </w:r>
            <w:proofErr w:type="gramEnd"/>
          </w:p>
        </w:tc>
        <w:tc>
          <w:tcPr>
            <w:tcW w:w="6410" w:type="dxa"/>
          </w:tcPr>
          <w:p w:rsidR="00052C65" w:rsidRPr="00FC3995" w:rsidRDefault="00052C65" w:rsidP="00BF6CDE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>nové nosné konstrukce včetně střechy a zastřešení spojovacího krčku, obvodový plášť</w:t>
            </w:r>
          </w:p>
        </w:tc>
      </w:tr>
      <w:tr w:rsidR="00052C65" w:rsidRPr="00FC3995" w:rsidTr="00052C65">
        <w:tc>
          <w:tcPr>
            <w:tcW w:w="1101" w:type="dxa"/>
          </w:tcPr>
          <w:p w:rsidR="00052C65" w:rsidRPr="00FC3995" w:rsidRDefault="00052C65" w:rsidP="00BF6CDE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>Etapa 3.</w:t>
            </w:r>
          </w:p>
        </w:tc>
        <w:tc>
          <w:tcPr>
            <w:tcW w:w="1701" w:type="dxa"/>
          </w:tcPr>
          <w:p w:rsidR="00052C65" w:rsidRPr="00FC3995" w:rsidRDefault="00052C65" w:rsidP="00BF6CDE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 xml:space="preserve">do </w:t>
            </w:r>
            <w:proofErr w:type="gramStart"/>
            <w:r w:rsidRPr="00FC3995">
              <w:rPr>
                <w:sz w:val="20"/>
              </w:rPr>
              <w:t>30.4.2017</w:t>
            </w:r>
            <w:proofErr w:type="gramEnd"/>
          </w:p>
        </w:tc>
        <w:tc>
          <w:tcPr>
            <w:tcW w:w="6410" w:type="dxa"/>
          </w:tcPr>
          <w:p w:rsidR="00052C65" w:rsidRPr="00FC3995" w:rsidRDefault="00A86ABC" w:rsidP="00A86ABC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 xml:space="preserve">rozvody </w:t>
            </w:r>
            <w:proofErr w:type="spellStart"/>
            <w:r w:rsidRPr="00FC3995">
              <w:rPr>
                <w:sz w:val="20"/>
              </w:rPr>
              <w:t>elektro</w:t>
            </w:r>
            <w:proofErr w:type="spellEnd"/>
            <w:r w:rsidRPr="00FC3995">
              <w:rPr>
                <w:sz w:val="20"/>
              </w:rPr>
              <w:t xml:space="preserve">, voda, kanalizace, ústřední topení, VZT, omítky hrubé podlahy, SDK příčky, podhledy, venkovní úpravy povrchy podlah, obklady, dlažby, montáže </w:t>
            </w:r>
            <w:proofErr w:type="spellStart"/>
            <w:r w:rsidRPr="00FC3995">
              <w:rPr>
                <w:sz w:val="20"/>
              </w:rPr>
              <w:t>zařiz</w:t>
            </w:r>
            <w:proofErr w:type="spellEnd"/>
            <w:r w:rsidRPr="00FC3995">
              <w:rPr>
                <w:sz w:val="20"/>
              </w:rPr>
              <w:t>. předmětů, sanity, světel, výmalby, osazení podia, AV techniky, dokončovací práce, dokončení venkovních úprav.</w:t>
            </w:r>
          </w:p>
        </w:tc>
      </w:tr>
      <w:tr w:rsidR="00052C65" w:rsidRPr="00FC3995" w:rsidTr="00052C65">
        <w:tc>
          <w:tcPr>
            <w:tcW w:w="1101" w:type="dxa"/>
          </w:tcPr>
          <w:p w:rsidR="00052C65" w:rsidRPr="00FC3995" w:rsidRDefault="00052C65" w:rsidP="00BF6CDE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>Etapa 4.</w:t>
            </w:r>
          </w:p>
        </w:tc>
        <w:tc>
          <w:tcPr>
            <w:tcW w:w="1701" w:type="dxa"/>
          </w:tcPr>
          <w:p w:rsidR="00052C65" w:rsidRPr="00FC3995" w:rsidRDefault="00052C65" w:rsidP="00BF6CDE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 xml:space="preserve">do </w:t>
            </w:r>
            <w:proofErr w:type="gramStart"/>
            <w:r w:rsidRPr="00FC3995">
              <w:rPr>
                <w:sz w:val="20"/>
              </w:rPr>
              <w:t>15.5.2017</w:t>
            </w:r>
            <w:proofErr w:type="gramEnd"/>
          </w:p>
        </w:tc>
        <w:tc>
          <w:tcPr>
            <w:tcW w:w="6410" w:type="dxa"/>
          </w:tcPr>
          <w:p w:rsidR="00052C65" w:rsidRPr="00FC3995" w:rsidRDefault="00A86ABC" w:rsidP="00BF6CDE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 xml:space="preserve">osazování dveří, oken, kompletace, úklid, předání prostor ke kolaudaci = </w:t>
            </w:r>
            <w:r w:rsidR="00052C65" w:rsidRPr="00FC3995">
              <w:rPr>
                <w:sz w:val="20"/>
              </w:rPr>
              <w:t>termín dokončení realizace celého díla – kolaudace a zahájení provozu</w:t>
            </w:r>
          </w:p>
        </w:tc>
      </w:tr>
    </w:tbl>
    <w:p w:rsidR="00BF6CDE" w:rsidRPr="00FC3995" w:rsidRDefault="00BF6CDE" w:rsidP="00BF6CDE">
      <w:pPr>
        <w:spacing w:after="120"/>
        <w:jc w:val="both"/>
        <w:rPr>
          <w:sz w:val="20"/>
        </w:rPr>
      </w:pPr>
      <w:r w:rsidRPr="00FC3995">
        <w:rPr>
          <w:sz w:val="20"/>
        </w:rPr>
        <w:tab/>
      </w:r>
      <w:r w:rsidRPr="00FC3995">
        <w:rPr>
          <w:sz w:val="20"/>
        </w:rPr>
        <w:tab/>
        <w:t xml:space="preserve"> </w:t>
      </w:r>
    </w:p>
    <w:p w:rsidR="00BF6CDE" w:rsidRPr="00FC3995" w:rsidRDefault="00BF6CDE" w:rsidP="00BF6CDE">
      <w:pPr>
        <w:spacing w:after="120"/>
        <w:jc w:val="both"/>
        <w:rPr>
          <w:sz w:val="20"/>
        </w:rPr>
      </w:pPr>
      <w:r w:rsidRPr="00FC3995">
        <w:rPr>
          <w:sz w:val="20"/>
          <w:u w:val="single"/>
        </w:rPr>
        <w:t>Přístavba a zvýšení kapacity kuchyně a školní jídelny</w:t>
      </w:r>
    </w:p>
    <w:tbl>
      <w:tblPr>
        <w:tblStyle w:val="Mkatabulky"/>
        <w:tblW w:w="0" w:type="auto"/>
        <w:tblLook w:val="04A0"/>
      </w:tblPr>
      <w:tblGrid>
        <w:gridCol w:w="1101"/>
        <w:gridCol w:w="1701"/>
        <w:gridCol w:w="6410"/>
      </w:tblGrid>
      <w:tr w:rsidR="00052C65" w:rsidRPr="00FC3995" w:rsidTr="00836F2F">
        <w:tc>
          <w:tcPr>
            <w:tcW w:w="1101" w:type="dxa"/>
          </w:tcPr>
          <w:p w:rsidR="00052C65" w:rsidRPr="00FC3995" w:rsidRDefault="00052C65" w:rsidP="00836F2F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>Etapa 1.</w:t>
            </w:r>
          </w:p>
        </w:tc>
        <w:tc>
          <w:tcPr>
            <w:tcW w:w="1701" w:type="dxa"/>
          </w:tcPr>
          <w:p w:rsidR="00052C65" w:rsidRPr="00FC3995" w:rsidRDefault="00052C65" w:rsidP="00836F2F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 xml:space="preserve">do </w:t>
            </w:r>
            <w:proofErr w:type="gramStart"/>
            <w:r w:rsidRPr="00FC3995">
              <w:rPr>
                <w:sz w:val="20"/>
              </w:rPr>
              <w:t>31.10.2016</w:t>
            </w:r>
            <w:proofErr w:type="gramEnd"/>
          </w:p>
        </w:tc>
        <w:tc>
          <w:tcPr>
            <w:tcW w:w="6410" w:type="dxa"/>
          </w:tcPr>
          <w:p w:rsidR="00052C65" w:rsidRPr="00FC3995" w:rsidRDefault="00A86ABC" w:rsidP="00A86ABC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>zařízení staveniště, ochranné práce a konstrukce, provedení venkovních výkopových prací a základových konstrukcí, bouracích prací. Provedení železobetonové desky přístavby.</w:t>
            </w:r>
          </w:p>
        </w:tc>
      </w:tr>
      <w:tr w:rsidR="00052C65" w:rsidRPr="00FC3995" w:rsidTr="00836F2F">
        <w:tc>
          <w:tcPr>
            <w:tcW w:w="1101" w:type="dxa"/>
          </w:tcPr>
          <w:p w:rsidR="00052C65" w:rsidRPr="00FC3995" w:rsidRDefault="00052C65" w:rsidP="00836F2F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>Etapa 2.</w:t>
            </w:r>
          </w:p>
        </w:tc>
        <w:tc>
          <w:tcPr>
            <w:tcW w:w="1701" w:type="dxa"/>
          </w:tcPr>
          <w:p w:rsidR="00052C65" w:rsidRPr="00FC3995" w:rsidRDefault="00052C65" w:rsidP="00836F2F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 xml:space="preserve">do </w:t>
            </w:r>
            <w:proofErr w:type="gramStart"/>
            <w:r w:rsidRPr="00FC3995">
              <w:rPr>
                <w:sz w:val="20"/>
              </w:rPr>
              <w:t>31.12.2016</w:t>
            </w:r>
            <w:proofErr w:type="gramEnd"/>
          </w:p>
        </w:tc>
        <w:tc>
          <w:tcPr>
            <w:tcW w:w="6410" w:type="dxa"/>
          </w:tcPr>
          <w:p w:rsidR="00052C65" w:rsidRPr="00FC3995" w:rsidRDefault="00FC3995" w:rsidP="00436737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>p</w:t>
            </w:r>
            <w:r w:rsidR="00A86ABC" w:rsidRPr="00FC3995">
              <w:rPr>
                <w:sz w:val="20"/>
              </w:rPr>
              <w:t xml:space="preserve">rovedení nových příček, </w:t>
            </w:r>
            <w:r w:rsidR="00E53E60" w:rsidRPr="00FC3995">
              <w:rPr>
                <w:sz w:val="20"/>
              </w:rPr>
              <w:t xml:space="preserve">zahájení prací </w:t>
            </w:r>
            <w:r w:rsidR="00A86ABC" w:rsidRPr="00FC3995">
              <w:rPr>
                <w:sz w:val="20"/>
              </w:rPr>
              <w:t xml:space="preserve">rozvodů elektroinstalace, vody, kanalizace, topení a vzduchotechniky, </w:t>
            </w:r>
            <w:r w:rsidR="00436737" w:rsidRPr="00FC3995">
              <w:rPr>
                <w:sz w:val="20"/>
              </w:rPr>
              <w:t>o</w:t>
            </w:r>
            <w:r w:rsidR="00A86ABC" w:rsidRPr="00FC3995">
              <w:rPr>
                <w:sz w:val="20"/>
              </w:rPr>
              <w:t>mít</w:t>
            </w:r>
            <w:r w:rsidR="00436737" w:rsidRPr="00FC3995">
              <w:rPr>
                <w:sz w:val="20"/>
              </w:rPr>
              <w:t>e</w:t>
            </w:r>
            <w:r w:rsidR="00A86ABC" w:rsidRPr="00FC3995">
              <w:rPr>
                <w:sz w:val="20"/>
              </w:rPr>
              <w:t xml:space="preserve">k, hrubé podlahy </w:t>
            </w:r>
            <w:r w:rsidR="00436737" w:rsidRPr="00FC3995">
              <w:rPr>
                <w:sz w:val="20"/>
              </w:rPr>
              <w:t xml:space="preserve">a </w:t>
            </w:r>
            <w:r w:rsidR="00A86ABC" w:rsidRPr="00FC3995">
              <w:rPr>
                <w:sz w:val="20"/>
              </w:rPr>
              <w:t>konstrukcí podhledů</w:t>
            </w:r>
            <w:r w:rsidR="00436737" w:rsidRPr="00FC3995">
              <w:rPr>
                <w:sz w:val="20"/>
              </w:rPr>
              <w:t>. Dodávka a montáž konstrukce přístavby a rampy. Venkovní úpravy kolem přístavby, dokončení venkovních inženýrských sítí. Vnitřní obklady, dlažby, dokončení rozvodů TZB.</w:t>
            </w:r>
          </w:p>
        </w:tc>
      </w:tr>
      <w:tr w:rsidR="00052C65" w:rsidRPr="00FC3995" w:rsidTr="00836F2F">
        <w:tc>
          <w:tcPr>
            <w:tcW w:w="1101" w:type="dxa"/>
          </w:tcPr>
          <w:p w:rsidR="00052C65" w:rsidRPr="00FC3995" w:rsidRDefault="00052C65" w:rsidP="00836F2F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>Etapa 3.</w:t>
            </w:r>
          </w:p>
        </w:tc>
        <w:tc>
          <w:tcPr>
            <w:tcW w:w="1701" w:type="dxa"/>
          </w:tcPr>
          <w:p w:rsidR="00052C65" w:rsidRPr="00FC3995" w:rsidRDefault="00052C65" w:rsidP="00052C65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 xml:space="preserve">do </w:t>
            </w:r>
            <w:proofErr w:type="gramStart"/>
            <w:r w:rsidRPr="00FC3995">
              <w:rPr>
                <w:sz w:val="20"/>
              </w:rPr>
              <w:t>20.2</w:t>
            </w:r>
            <w:r w:rsidRPr="00FC3995">
              <w:rPr>
                <w:sz w:val="20"/>
              </w:rPr>
              <w:t>.2017</w:t>
            </w:r>
            <w:proofErr w:type="gramEnd"/>
          </w:p>
        </w:tc>
        <w:tc>
          <w:tcPr>
            <w:tcW w:w="6410" w:type="dxa"/>
          </w:tcPr>
          <w:p w:rsidR="00052C65" w:rsidRPr="00FC3995" w:rsidRDefault="00FC3995" w:rsidP="00FC3995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>d</w:t>
            </w:r>
            <w:r w:rsidR="00E53E60" w:rsidRPr="00FC3995">
              <w:rPr>
                <w:sz w:val="20"/>
              </w:rPr>
              <w:t xml:space="preserve">okončení rozvodů </w:t>
            </w:r>
            <w:proofErr w:type="spellStart"/>
            <w:r w:rsidR="00E53E60" w:rsidRPr="00FC3995">
              <w:rPr>
                <w:sz w:val="20"/>
              </w:rPr>
              <w:t>elektro</w:t>
            </w:r>
            <w:proofErr w:type="spellEnd"/>
            <w:r w:rsidR="00E53E60" w:rsidRPr="00FC3995">
              <w:rPr>
                <w:sz w:val="20"/>
              </w:rPr>
              <w:t xml:space="preserve">, vody, kanalizace, VZT – kompletace prvků. Provádění podlahové stěrky, dokončení podhledů, malby. Osazování dveří, oken, </w:t>
            </w:r>
            <w:r w:rsidRPr="00FC3995">
              <w:rPr>
                <w:sz w:val="20"/>
              </w:rPr>
              <w:t xml:space="preserve">svítidel, </w:t>
            </w:r>
            <w:r w:rsidR="00E53E60" w:rsidRPr="00FC3995">
              <w:rPr>
                <w:sz w:val="20"/>
              </w:rPr>
              <w:t xml:space="preserve">kompletace </w:t>
            </w:r>
            <w:r w:rsidRPr="00FC3995">
              <w:rPr>
                <w:sz w:val="20"/>
              </w:rPr>
              <w:t xml:space="preserve">a </w:t>
            </w:r>
            <w:r w:rsidR="00E53E60" w:rsidRPr="00FC3995">
              <w:rPr>
                <w:sz w:val="20"/>
              </w:rPr>
              <w:t xml:space="preserve">úklid. Příprava a kontrola pro montáž </w:t>
            </w:r>
            <w:proofErr w:type="spellStart"/>
            <w:r w:rsidR="00E53E60" w:rsidRPr="00FC3995">
              <w:rPr>
                <w:sz w:val="20"/>
              </w:rPr>
              <w:t>gastro</w:t>
            </w:r>
            <w:proofErr w:type="spellEnd"/>
            <w:r w:rsidR="00E53E60" w:rsidRPr="00FC3995">
              <w:rPr>
                <w:sz w:val="20"/>
              </w:rPr>
              <w:t xml:space="preserve"> vybavení (samostatný projekt). Zkoušky a revize. Předání prostor pro montáž vybavení </w:t>
            </w:r>
            <w:proofErr w:type="spellStart"/>
            <w:r w:rsidR="00E53E60" w:rsidRPr="00FC3995">
              <w:rPr>
                <w:sz w:val="20"/>
              </w:rPr>
              <w:t>gastro</w:t>
            </w:r>
            <w:proofErr w:type="spellEnd"/>
            <w:r w:rsidR="00E53E60" w:rsidRPr="00FC3995">
              <w:rPr>
                <w:sz w:val="20"/>
              </w:rPr>
              <w:t xml:space="preserve"> technologie.</w:t>
            </w:r>
          </w:p>
        </w:tc>
      </w:tr>
      <w:tr w:rsidR="00052C65" w:rsidRPr="00FC3995" w:rsidTr="00836F2F">
        <w:tc>
          <w:tcPr>
            <w:tcW w:w="1101" w:type="dxa"/>
          </w:tcPr>
          <w:p w:rsidR="00052C65" w:rsidRPr="00FC3995" w:rsidRDefault="00052C65" w:rsidP="00836F2F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>Etapa 4.</w:t>
            </w:r>
          </w:p>
        </w:tc>
        <w:tc>
          <w:tcPr>
            <w:tcW w:w="1701" w:type="dxa"/>
          </w:tcPr>
          <w:p w:rsidR="00052C65" w:rsidRPr="00FC3995" w:rsidRDefault="00052C65" w:rsidP="00052C65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 xml:space="preserve">do </w:t>
            </w:r>
            <w:proofErr w:type="gramStart"/>
            <w:r w:rsidRPr="00FC3995">
              <w:rPr>
                <w:sz w:val="20"/>
              </w:rPr>
              <w:t>31</w:t>
            </w:r>
            <w:r w:rsidRPr="00FC3995">
              <w:rPr>
                <w:sz w:val="20"/>
              </w:rPr>
              <w:t>.</w:t>
            </w:r>
            <w:r w:rsidRPr="00FC3995">
              <w:rPr>
                <w:sz w:val="20"/>
              </w:rPr>
              <w:t>3</w:t>
            </w:r>
            <w:r w:rsidRPr="00FC3995">
              <w:rPr>
                <w:sz w:val="20"/>
              </w:rPr>
              <w:t>.2017</w:t>
            </w:r>
            <w:proofErr w:type="gramEnd"/>
          </w:p>
        </w:tc>
        <w:tc>
          <w:tcPr>
            <w:tcW w:w="6410" w:type="dxa"/>
          </w:tcPr>
          <w:p w:rsidR="00052C65" w:rsidRPr="00FC3995" w:rsidRDefault="00E53E60" w:rsidP="00E53E60">
            <w:pPr>
              <w:spacing w:after="120"/>
              <w:rPr>
                <w:sz w:val="20"/>
              </w:rPr>
            </w:pPr>
            <w:r w:rsidRPr="00FC3995">
              <w:rPr>
                <w:sz w:val="20"/>
              </w:rPr>
              <w:t xml:space="preserve">Předání stavby, kolaudace, zkušební provoz, zahájení trvalého provozu </w:t>
            </w:r>
          </w:p>
        </w:tc>
      </w:tr>
    </w:tbl>
    <w:p w:rsidR="00052C65" w:rsidRPr="00FC3995" w:rsidRDefault="00052C65" w:rsidP="00BF6CDE">
      <w:pPr>
        <w:spacing w:after="120"/>
        <w:jc w:val="both"/>
        <w:rPr>
          <w:sz w:val="20"/>
        </w:rPr>
      </w:pPr>
    </w:p>
    <w:p w:rsidR="00B55E52" w:rsidRDefault="00B55E52" w:rsidP="00B55E52"/>
    <w:p w:rsidR="000858DC" w:rsidRDefault="000858DC"/>
    <w:sectPr w:rsidR="000858DC" w:rsidSect="000858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559" w:rsidRDefault="00666559" w:rsidP="00BF6CDE">
      <w:r>
        <w:separator/>
      </w:r>
    </w:p>
  </w:endnote>
  <w:endnote w:type="continuationSeparator" w:id="1">
    <w:p w:rsidR="00666559" w:rsidRDefault="00666559" w:rsidP="00BF6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559" w:rsidRDefault="00666559" w:rsidP="00BF6CDE">
      <w:r>
        <w:separator/>
      </w:r>
    </w:p>
  </w:footnote>
  <w:footnote w:type="continuationSeparator" w:id="1">
    <w:p w:rsidR="00666559" w:rsidRDefault="00666559" w:rsidP="00BF6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DE" w:rsidRDefault="00BF6CDE">
    <w:pPr>
      <w:pStyle w:val="Zhlav"/>
    </w:pPr>
    <w:r>
      <w:tab/>
    </w:r>
    <w:r>
      <w:tab/>
      <w:t>Příloha č. 4 Zadávací dokumentace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7FB1"/>
    <w:multiLevelType w:val="hybridMultilevel"/>
    <w:tmpl w:val="ACD0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C12E5"/>
    <w:multiLevelType w:val="hybridMultilevel"/>
    <w:tmpl w:val="68D64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E52"/>
    <w:rsid w:val="00052C65"/>
    <w:rsid w:val="000858DC"/>
    <w:rsid w:val="00096276"/>
    <w:rsid w:val="001637AF"/>
    <w:rsid w:val="00275D59"/>
    <w:rsid w:val="00436737"/>
    <w:rsid w:val="00555091"/>
    <w:rsid w:val="00666559"/>
    <w:rsid w:val="00A86ABC"/>
    <w:rsid w:val="00B55E52"/>
    <w:rsid w:val="00BF6CDE"/>
    <w:rsid w:val="00E53E60"/>
    <w:rsid w:val="00E73DF7"/>
    <w:rsid w:val="00FC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82" w:line="2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E52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aliases w:val="1"/>
    <w:basedOn w:val="Normln"/>
    <w:next w:val="Normln"/>
    <w:link w:val="Nadpis1Char"/>
    <w:qFormat/>
    <w:rsid w:val="00B55E52"/>
    <w:pPr>
      <w:keepNext/>
      <w:spacing w:before="240" w:after="60"/>
      <w:outlineLvl w:val="0"/>
    </w:pPr>
    <w:rPr>
      <w:b/>
      <w:kern w:val="28"/>
      <w:sz w:val="40"/>
    </w:rPr>
  </w:style>
  <w:style w:type="paragraph" w:styleId="Nadpis3">
    <w:name w:val="heading 3"/>
    <w:aliases w:val="Nadpis 3 velká písmena"/>
    <w:basedOn w:val="Normln"/>
    <w:next w:val="Normln"/>
    <w:link w:val="Nadpis3Char"/>
    <w:qFormat/>
    <w:rsid w:val="00B55E52"/>
    <w:pPr>
      <w:keepNext/>
      <w:jc w:val="both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Char"/>
    <w:basedOn w:val="Standardnpsmoodstavce"/>
    <w:link w:val="Nadpis1"/>
    <w:rsid w:val="00B55E52"/>
    <w:rPr>
      <w:rFonts w:ascii="Arial" w:eastAsia="Times New Roman" w:hAnsi="Arial" w:cs="Times New Roman"/>
      <w:b/>
      <w:kern w:val="28"/>
      <w:sz w:val="40"/>
      <w:szCs w:val="20"/>
    </w:rPr>
  </w:style>
  <w:style w:type="character" w:customStyle="1" w:styleId="Nadpis3Char">
    <w:name w:val="Nadpis 3 Char"/>
    <w:aliases w:val="Nadpis 3 velká písmena Char"/>
    <w:basedOn w:val="Standardnpsmoodstavce"/>
    <w:link w:val="Nadpis3"/>
    <w:rsid w:val="00B55E52"/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ILF-Standard">
    <w:name w:val="ILF-Standard"/>
    <w:rsid w:val="00B55E52"/>
    <w:pPr>
      <w:spacing w:before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F6CDE"/>
    <w:pPr>
      <w:suppressAutoHyphens/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kern w:val="1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semiHidden/>
    <w:unhideWhenUsed/>
    <w:rsid w:val="00BF6CD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F6CD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6C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CDE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F6C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F6CDE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C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CDE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052C65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Zápal</dc:creator>
  <cp:lastModifiedBy>Jiří Zápal</cp:lastModifiedBy>
  <cp:revision>3</cp:revision>
  <cp:lastPrinted>2016-07-25T15:45:00Z</cp:lastPrinted>
  <dcterms:created xsi:type="dcterms:W3CDTF">2016-07-25T15:45:00Z</dcterms:created>
  <dcterms:modified xsi:type="dcterms:W3CDTF">2016-07-25T15:45:00Z</dcterms:modified>
</cp:coreProperties>
</file>